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C2000" w14:textId="77777777" w:rsidR="00B10C68" w:rsidRDefault="00B10C68">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p>
    <w:p w14:paraId="27047844" w14:textId="77777777" w:rsidR="00B10C68" w:rsidRDefault="00B10C68">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p>
    <w:p w14:paraId="7186A17E" w14:textId="28329033" w:rsidR="00B10C68" w:rsidRDefault="00D11FA3">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Investigating The Impact of the 3cm Model on Enhancing Students’ Critical Thinking Skills</w:t>
      </w:r>
    </w:p>
    <w:p w14:paraId="54EE41FA" w14:textId="77777777" w:rsidR="00B10C68" w:rsidRDefault="00B10C68">
      <w:pPr>
        <w:pBdr>
          <w:top w:val="nil"/>
          <w:left w:val="nil"/>
          <w:bottom w:val="nil"/>
          <w:right w:val="nil"/>
          <w:between w:val="nil"/>
        </w:pBdr>
        <w:spacing w:after="0" w:line="240" w:lineRule="auto"/>
        <w:jc w:val="center"/>
        <w:rPr>
          <w:rFonts w:ascii="Times New Roman" w:eastAsia="Times New Roman" w:hAnsi="Times New Roman" w:cs="Times New Roman"/>
          <w:b/>
          <w:color w:val="000000"/>
          <w:sz w:val="40"/>
          <w:szCs w:val="40"/>
        </w:rPr>
      </w:pPr>
    </w:p>
    <w:p w14:paraId="5366008A" w14:textId="537B1DD0" w:rsidR="00B10C68" w:rsidRDefault="00000000" w:rsidP="00D11FA3">
      <w:pPr>
        <w:keepNext/>
        <w:keepLines/>
        <w:pBdr>
          <w:top w:val="nil"/>
          <w:left w:val="nil"/>
          <w:bottom w:val="nil"/>
          <w:right w:val="nil"/>
          <w:between w:val="nil"/>
        </w:pBdr>
        <w:spacing w:after="0" w:line="240" w:lineRule="auto"/>
        <w:ind w:left="-142" w:right="-18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Nur Janah</w:t>
      </w:r>
      <w:r>
        <w:rPr>
          <w:rFonts w:ascii="Times New Roman" w:eastAsia="Times New Roman" w:hAnsi="Times New Roman" w:cs="Times New Roman"/>
          <w:color w:val="000000"/>
          <w:sz w:val="24"/>
          <w:szCs w:val="24"/>
          <w:vertAlign w:val="superscript"/>
        </w:rPr>
        <w:t>a</w:t>
      </w:r>
      <w:r w:rsidR="00D11FA3">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vertAlign w:val="superscript"/>
        </w:rPr>
        <w:t>1</w:t>
      </w:r>
      <w:r w:rsidR="00D11FA3">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noProof/>
          <w:color w:val="000000"/>
          <w:sz w:val="24"/>
          <w:szCs w:val="24"/>
          <w:vertAlign w:val="superscript"/>
        </w:rPr>
        <w:drawing>
          <wp:inline distT="0" distB="0" distL="0" distR="0" wp14:anchorId="213CD420" wp14:editId="35A292D6">
            <wp:extent cx="144000" cy="144000"/>
            <wp:effectExtent l="0" t="0" r="0" b="0"/>
            <wp:docPr id="19859367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4000" cy="144000"/>
                    </a:xfrm>
                    <a:prstGeom prst="rect">
                      <a:avLst/>
                    </a:prstGeom>
                    <a:ln/>
                  </pic:spPr>
                </pic:pic>
              </a:graphicData>
            </a:graphic>
          </wp:inline>
        </w:drawing>
      </w:r>
      <w:r>
        <w:rPr>
          <w:rFonts w:ascii="Times New Roman" w:eastAsia="Times New Roman" w:hAnsi="Times New Roman" w:cs="Times New Roman"/>
          <w:color w:val="000000"/>
          <w:sz w:val="24"/>
          <w:szCs w:val="24"/>
        </w:rPr>
        <w:t>, Ifa Fauziah</w:t>
      </w:r>
      <w:r>
        <w:rPr>
          <w:rFonts w:ascii="Times New Roman" w:eastAsia="Times New Roman" w:hAnsi="Times New Roman" w:cs="Times New Roman"/>
          <w:color w:val="000000"/>
          <w:sz w:val="24"/>
          <w:szCs w:val="24"/>
          <w:vertAlign w:val="superscript"/>
        </w:rPr>
        <w:t>b</w:t>
      </w:r>
      <w:r w:rsidR="00D11FA3">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vertAlign w:val="superscript"/>
        </w:rPr>
        <w:t>2</w:t>
      </w:r>
      <w:r w:rsidR="00D11FA3">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noProof/>
          <w:color w:val="000000"/>
          <w:sz w:val="24"/>
          <w:szCs w:val="24"/>
          <w:vertAlign w:val="superscript"/>
        </w:rPr>
        <w:drawing>
          <wp:inline distT="0" distB="0" distL="0" distR="0" wp14:anchorId="38E7F2F6" wp14:editId="35608B54">
            <wp:extent cx="144000" cy="144000"/>
            <wp:effectExtent l="0" t="0" r="0" b="0"/>
            <wp:docPr id="19859367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4000" cy="144000"/>
                    </a:xfrm>
                    <a:prstGeom prst="rect">
                      <a:avLst/>
                    </a:prstGeom>
                    <a:ln/>
                  </pic:spPr>
                </pic:pic>
              </a:graphicData>
            </a:graphic>
          </wp:inline>
        </w:drawing>
      </w:r>
      <w:r>
        <w:rPr>
          <w:rFonts w:ascii="Times New Roman" w:eastAsia="Times New Roman" w:hAnsi="Times New Roman" w:cs="Times New Roman"/>
          <w:color w:val="000000"/>
          <w:sz w:val="24"/>
          <w:szCs w:val="24"/>
        </w:rPr>
        <w:t>, Deny Hadi Siswanto</w:t>
      </w:r>
      <w:r>
        <w:rPr>
          <w:rFonts w:ascii="Times New Roman" w:eastAsia="Times New Roman" w:hAnsi="Times New Roman" w:cs="Times New Roman"/>
          <w:color w:val="000000"/>
          <w:sz w:val="24"/>
          <w:szCs w:val="24"/>
          <w:vertAlign w:val="superscript"/>
        </w:rPr>
        <w:t>c</w:t>
      </w:r>
      <w:r w:rsidR="00D11FA3">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color w:val="000000"/>
          <w:sz w:val="24"/>
          <w:szCs w:val="24"/>
          <w:vertAlign w:val="superscript"/>
        </w:rPr>
        <w:t>3</w:t>
      </w:r>
      <w:r w:rsidR="00D11FA3">
        <w:rPr>
          <w:rFonts w:ascii="Times New Roman" w:eastAsia="Times New Roman" w:hAnsi="Times New Roman" w:cs="Times New Roman"/>
          <w:color w:val="000000"/>
          <w:sz w:val="24"/>
          <w:szCs w:val="24"/>
          <w:vertAlign w:val="superscript"/>
        </w:rPr>
        <w:t>,</w:t>
      </w:r>
      <w:r>
        <w:rPr>
          <w:rFonts w:ascii="Times New Roman" w:eastAsia="Times New Roman" w:hAnsi="Times New Roman" w:cs="Times New Roman"/>
          <w:noProof/>
          <w:color w:val="000000"/>
          <w:sz w:val="24"/>
          <w:szCs w:val="24"/>
          <w:vertAlign w:val="superscript"/>
        </w:rPr>
        <w:drawing>
          <wp:inline distT="0" distB="0" distL="0" distR="0" wp14:anchorId="53CDE5B0" wp14:editId="1CF1786A">
            <wp:extent cx="144000" cy="144000"/>
            <wp:effectExtent l="0" t="0" r="0" b="0"/>
            <wp:docPr id="19859367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4000" cy="144000"/>
                    </a:xfrm>
                    <a:prstGeom prst="rect">
                      <a:avLst/>
                    </a:prstGeom>
                    <a:ln/>
                  </pic:spPr>
                </pic:pic>
              </a:graphicData>
            </a:graphic>
          </wp:inline>
        </w:drawing>
      </w:r>
    </w:p>
    <w:p w14:paraId="0B2F9D7B" w14:textId="77777777" w:rsidR="00B10C68" w:rsidRDefault="00000000">
      <w:pPr>
        <w:keepNext/>
        <w:keepLines/>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 xml:space="preserve">a </w:t>
      </w:r>
      <w:r>
        <w:rPr>
          <w:rFonts w:ascii="Times New Roman" w:eastAsia="Times New Roman" w:hAnsi="Times New Roman" w:cs="Times New Roman"/>
          <w:color w:val="000000"/>
          <w:sz w:val="24"/>
          <w:szCs w:val="24"/>
        </w:rPr>
        <w:t>Master of Mathematics Education, Ahmad Dahlan University, Yogyakarta, Indonesia</w:t>
      </w:r>
    </w:p>
    <w:p w14:paraId="3CB92803" w14:textId="77777777" w:rsidR="00B10C68" w:rsidRDefault="00000000">
      <w:pPr>
        <w:keepNext/>
        <w:keepLines/>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 xml:space="preserve">b </w:t>
      </w:r>
      <w:r>
        <w:rPr>
          <w:rFonts w:ascii="Times New Roman" w:hAnsi="Times New Roman" w:cs="Times New Roman"/>
          <w:sz w:val="24"/>
          <w:szCs w:val="24"/>
          <w:shd w:val="clear" w:color="auto" w:fill="FFFFFF"/>
        </w:rPr>
        <w:t>Indonesian Language and Literature, Gadjah Mada University, Sleman, Indonesia</w:t>
      </w:r>
    </w:p>
    <w:p w14:paraId="2640DB00" w14:textId="77777777" w:rsidR="00B10C68" w:rsidRDefault="00000000">
      <w:pPr>
        <w:keepNext/>
        <w:keepLines/>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 xml:space="preserve">c </w:t>
      </w:r>
      <w:r>
        <w:rPr>
          <w:rFonts w:ascii="Times New Roman" w:eastAsia="Times New Roman" w:hAnsi="Times New Roman" w:cs="Times New Roman"/>
          <w:color w:val="000000"/>
          <w:sz w:val="24"/>
          <w:szCs w:val="24"/>
        </w:rPr>
        <w:t>Muhammadiyah Mlati Senior High School, Sleman, Indonesia</w:t>
      </w:r>
    </w:p>
    <w:p w14:paraId="211E55A9" w14:textId="77777777" w:rsidR="00B10C68" w:rsidRDefault="00000000">
      <w:pPr>
        <w:keepNext/>
        <w:keepLines/>
        <w:pBdr>
          <w:top w:val="nil"/>
          <w:left w:val="nil"/>
          <w:bottom w:val="nil"/>
          <w:right w:val="nil"/>
          <w:between w:val="nil"/>
        </w:pBdr>
        <w:spacing w:after="0" w:line="240" w:lineRule="auto"/>
        <w:ind w:left="-284" w:right="-330"/>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vertAlign w:val="superscript"/>
        </w:rPr>
        <w:t xml:space="preserve">1 </w:t>
      </w:r>
      <w:hyperlink r:id="rId9" w:history="1">
        <w:r w:rsidR="00B10C68">
          <w:rPr>
            <w:rStyle w:val="Hyperlink"/>
            <w:rFonts w:ascii="Times New Roman" w:eastAsia="Times New Roman" w:hAnsi="Times New Roman" w:cs="Times New Roman"/>
            <w:sz w:val="23"/>
            <w:szCs w:val="23"/>
          </w:rPr>
          <w:t>2207050009@webmail.uad.ac.id</w:t>
        </w:r>
      </w:hyperlink>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vertAlign w:val="superscript"/>
        </w:rPr>
        <w:t xml:space="preserve">2 </w:t>
      </w:r>
      <w:hyperlink r:id="rId10" w:history="1">
        <w:r w:rsidR="00B10C68">
          <w:rPr>
            <w:rStyle w:val="Hyperlink"/>
            <w:rFonts w:ascii="Times New Roman" w:eastAsia="Times New Roman" w:hAnsi="Times New Roman" w:cs="Times New Roman"/>
            <w:sz w:val="23"/>
            <w:szCs w:val="23"/>
          </w:rPr>
          <w:t>ifafauziah@mail.ugm.ac.id</w:t>
        </w:r>
      </w:hyperlink>
      <w:r>
        <w:rPr>
          <w:rStyle w:val="Hyperlink"/>
          <w:rFonts w:ascii="Times New Roman" w:eastAsia="Times New Roman" w:hAnsi="Times New Roman" w:cs="Times New Roman"/>
          <w:color w:val="000000" w:themeColor="text1"/>
          <w:sz w:val="23"/>
          <w:szCs w:val="23"/>
          <w:u w:val="none"/>
        </w:rPr>
        <w:t>;</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vertAlign w:val="superscript"/>
        </w:rPr>
        <w:t xml:space="preserve">3 </w:t>
      </w:r>
      <w:hyperlink r:id="rId11" w:history="1">
        <w:r w:rsidR="00B10C68">
          <w:rPr>
            <w:rStyle w:val="Hyperlink"/>
            <w:rFonts w:ascii="Times New Roman" w:eastAsia="Times New Roman" w:hAnsi="Times New Roman" w:cs="Times New Roman"/>
            <w:sz w:val="23"/>
            <w:szCs w:val="23"/>
          </w:rPr>
          <w:t>denysiswanto11@guru.sma.belajar.id</w:t>
        </w:r>
      </w:hyperlink>
    </w:p>
    <w:p w14:paraId="23C8F2E3" w14:textId="77777777" w:rsidR="00B10C68" w:rsidRDefault="00B10C68">
      <w:pPr>
        <w:spacing w:after="0" w:line="240" w:lineRule="auto"/>
        <w:rPr>
          <w:rFonts w:ascii="Times New Roman" w:eastAsia="Times New Roman" w:hAnsi="Times New Roman" w:cs="Times New Roman"/>
        </w:rPr>
      </w:pPr>
    </w:p>
    <w:p w14:paraId="6F1AB4AC" w14:textId="434214B7" w:rsidR="00B10C68" w:rsidRPr="00D11FA3" w:rsidRDefault="00000000">
      <w:pPr>
        <w:spacing w:after="0" w:line="240" w:lineRule="auto"/>
        <w:jc w:val="center"/>
        <w:rPr>
          <w:rFonts w:ascii="Times New Roman" w:eastAsia="Times New Roman" w:hAnsi="Times New Roman" w:cs="Times New Roman"/>
          <w:b/>
          <w:color w:val="002060"/>
          <w:sz w:val="20"/>
          <w:szCs w:val="20"/>
          <w:lang w:val="pt-BR"/>
        </w:rPr>
      </w:pPr>
      <w:r w:rsidRPr="00D11FA3">
        <w:rPr>
          <w:rFonts w:ascii="Times New Roman" w:eastAsia="Times New Roman" w:hAnsi="Times New Roman" w:cs="Times New Roman"/>
          <w:b/>
          <w:color w:val="002060"/>
          <w:sz w:val="20"/>
          <w:szCs w:val="20"/>
          <w:lang w:val="pt-BR"/>
        </w:rPr>
        <w:t xml:space="preserve">DOI: </w:t>
      </w:r>
      <w:r w:rsidR="00D11FA3" w:rsidRPr="00D11FA3">
        <w:rPr>
          <w:rFonts w:ascii="Times New Roman" w:eastAsia="Times New Roman" w:hAnsi="Times New Roman" w:cs="Times New Roman"/>
          <w:b/>
          <w:color w:val="002060"/>
          <w:sz w:val="20"/>
          <w:szCs w:val="20"/>
          <w:lang w:val="pt-BR"/>
        </w:rPr>
        <w:t>https://doi.org/10.12928/cece.v3i1.1462</w:t>
      </w:r>
    </w:p>
    <w:p w14:paraId="6E920BE3" w14:textId="77777777" w:rsidR="00B10C68"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December 1</w:t>
      </w:r>
      <w:r>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2024. Revised: December 10</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2024. Accepted: December 25</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2024</w:t>
      </w:r>
    </w:p>
    <w:p w14:paraId="73DF08C2" w14:textId="77777777" w:rsidR="00B10C68"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Available Online: January 20</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2025. Published Regularly: July 31</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2025</w:t>
      </w:r>
    </w:p>
    <w:p w14:paraId="4E600013" w14:textId="77777777" w:rsidR="00B10C68" w:rsidRDefault="00B10C68">
      <w:pPr>
        <w:spacing w:after="0" w:line="240" w:lineRule="auto"/>
        <w:rPr>
          <w:rFonts w:ascii="Times New Roman" w:eastAsia="Times New Roman" w:hAnsi="Times New Roman" w:cs="Times New Roman"/>
        </w:rPr>
      </w:pPr>
    </w:p>
    <w:p w14:paraId="53EFADA5" w14:textId="77777777" w:rsidR="00B10C68" w:rsidRDefault="00B10C68">
      <w:pPr>
        <w:spacing w:after="0" w:line="240" w:lineRule="auto"/>
        <w:rPr>
          <w:rFonts w:ascii="Times New Roman" w:eastAsia="Times New Roman" w:hAnsi="Times New Roman" w:cs="Times New Roman"/>
        </w:rPr>
      </w:pPr>
    </w:p>
    <w:p w14:paraId="2CE57D7E" w14:textId="77777777" w:rsidR="00B10C68" w:rsidRDefault="00B10C68">
      <w:pPr>
        <w:spacing w:after="0" w:line="240" w:lineRule="auto"/>
        <w:rPr>
          <w:rFonts w:ascii="Times New Roman" w:eastAsia="Times New Roman" w:hAnsi="Times New Roman" w:cs="Times New Roman"/>
        </w:rPr>
      </w:pPr>
    </w:p>
    <w:p w14:paraId="7B0C097C" w14:textId="77777777" w:rsidR="00B10C68" w:rsidRDefault="00000000">
      <w:pPr>
        <w:pStyle w:val="Heading1"/>
        <w:spacing w:before="0"/>
        <w:rPr>
          <w:color w:val="7030A0"/>
          <w:sz w:val="26"/>
          <w:szCs w:val="26"/>
        </w:rPr>
      </w:pPr>
      <w:r>
        <w:rPr>
          <w:color w:val="7030A0"/>
          <w:sz w:val="26"/>
          <w:szCs w:val="26"/>
        </w:rPr>
        <w:t>ABSTRACT</w:t>
      </w:r>
    </w:p>
    <w:p w14:paraId="5BF678B9" w14:textId="77777777" w:rsidR="00B10C68" w:rsidRDefault="00000000">
      <w:pPr>
        <w:pStyle w:val="Heading3"/>
        <w:spacing w:before="0" w:after="0" w:line="240" w:lineRule="auto"/>
        <w:jc w:val="both"/>
      </w:pPr>
      <w:r>
        <w:t xml:space="preserve">This research aims to assess the effect of the Cool, Critical, Creative, and Meaningful (3CM) learning model in improving students' critical thinking skills on the topic of matrices. A quantitative approach was used, employing a pre-experimental design with a one-group pretest-posttest format. The study involved 30 11th-grade science students from SMA Muhammadiyah Mlati. The instruments for this research included a critical thinking skills test based on the indicators of Focus, Reason, Inference, Situation, Clarity, and Overview, as well as a student perception questionnaire regarding the 3CM learning model. The validity and reliability tests showed that all instruments were valid and reliable. Tests for normality and linearity confirmed that the data were normally distributed and exhibited a significant linear relationship. Regression analysis demonstrated a positive and significant correlation between the 3CM model and students’ critical thinking skills (sig. = 0.003 &lt; 0.05), with the model explaining 27.7% of the variance. The average pretest score of 61.56 increased to 85.80 in the posttest, with the greatest improvement observed in the Situation indicator. These findings indicate that the 3CM model is effective in enhancing students' critical thinking skills and contributes to the development of innovative teaching strategies in mathematics education. </w:t>
      </w:r>
    </w:p>
    <w:p w14:paraId="19823145" w14:textId="77777777" w:rsidR="00B10C68" w:rsidRDefault="00000000">
      <w:pPr>
        <w:pStyle w:val="Heading3"/>
        <w:spacing w:after="0" w:line="240" w:lineRule="auto"/>
      </w:pPr>
      <w:r>
        <w:rPr>
          <w:b/>
        </w:rPr>
        <w:t>Keywords:</w:t>
      </w:r>
      <w:r>
        <w:t xml:space="preserve"> </w:t>
      </w:r>
      <w:r>
        <w:rPr>
          <w:bCs/>
        </w:rPr>
        <w:t>3CM Model, Critical Thinking Skills, Matrix</w:t>
      </w:r>
    </w:p>
    <w:p w14:paraId="32A8D24C" w14:textId="660E3C2A" w:rsidR="00B10C68" w:rsidRDefault="00D11FA3">
      <w:pPr>
        <w:spacing w:after="0" w:line="240" w:lineRule="auto"/>
        <w:rPr>
          <w:rFonts w:ascii="Times New Roman" w:eastAsia="Times New Roman" w:hAnsi="Times New Roman" w:cs="Times New Roman"/>
        </w:rPr>
      </w:pPr>
      <w:r>
        <w:rPr>
          <w:noProof/>
        </w:rPr>
        <w:drawing>
          <wp:anchor distT="0" distB="0" distL="114300" distR="114300" simplePos="0" relativeHeight="251658240" behindDoc="0" locked="0" layoutInCell="1" hidden="0" allowOverlap="1" wp14:anchorId="76A54E6D" wp14:editId="2ACBF65A">
            <wp:simplePos x="0" y="0"/>
            <wp:positionH relativeFrom="column">
              <wp:posOffset>0</wp:posOffset>
            </wp:positionH>
            <wp:positionV relativeFrom="paragraph">
              <wp:posOffset>17780</wp:posOffset>
            </wp:positionV>
            <wp:extent cx="840105" cy="297180"/>
            <wp:effectExtent l="0" t="0" r="0" b="7620"/>
            <wp:wrapNone/>
            <wp:docPr id="19859367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840105" cy="297180"/>
                    </a:xfrm>
                    <a:prstGeom prst="rect">
                      <a:avLst/>
                    </a:prstGeom>
                    <a:ln/>
                  </pic:spPr>
                </pic:pic>
              </a:graphicData>
            </a:graphic>
          </wp:anchor>
        </w:drawing>
      </w:r>
    </w:p>
    <w:p w14:paraId="11988A39" w14:textId="003AAD12" w:rsidR="00B10C68" w:rsidRDefault="00B10C68">
      <w:pPr>
        <w:spacing w:after="0" w:line="240" w:lineRule="auto"/>
        <w:rPr>
          <w:rFonts w:ascii="Times New Roman" w:eastAsia="Times New Roman" w:hAnsi="Times New Roman" w:cs="Times New Roman"/>
        </w:rPr>
      </w:pPr>
    </w:p>
    <w:p w14:paraId="23FB73AB" w14:textId="77777777" w:rsidR="00B10C68" w:rsidRDefault="00000000">
      <w:pPr>
        <w:pStyle w:val="Heading3"/>
        <w:pBdr>
          <w:bottom w:val="single" w:sz="4" w:space="1" w:color="000000"/>
        </w:pBdr>
        <w:spacing w:before="0" w:after="0" w:line="240" w:lineRule="auto"/>
      </w:pPr>
      <w:r>
        <w:t xml:space="preserve">This is an open-access article under the </w:t>
      </w:r>
      <w:hyperlink r:id="rId13">
        <w:r w:rsidR="00B10C68">
          <w:t>CC–BY-SA l</w:t>
        </w:r>
      </w:hyperlink>
      <w:r>
        <w:t xml:space="preserve">icense. </w:t>
      </w:r>
    </w:p>
    <w:p w14:paraId="00911B20" w14:textId="77777777" w:rsidR="00B10C68" w:rsidRDefault="00B10C68">
      <w:pPr>
        <w:spacing w:after="0" w:line="240" w:lineRule="auto"/>
        <w:rPr>
          <w:rFonts w:ascii="Times New Roman" w:eastAsia="Times New Roman" w:hAnsi="Times New Roman" w:cs="Times New Roman"/>
          <w:b/>
          <w:i/>
          <w:sz w:val="20"/>
          <w:szCs w:val="20"/>
        </w:rPr>
      </w:pPr>
    </w:p>
    <w:p w14:paraId="59CA5059" w14:textId="77777777" w:rsidR="00B10C68" w:rsidRDefault="00000000">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Corresponding Author: </w:t>
      </w:r>
    </w:p>
    <w:p w14:paraId="4179493D" w14:textId="77777777" w:rsidR="00B10C68" w:rsidRDefault="00000000">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Nur Janah, Ahmad Dahlan University </w:t>
      </w:r>
    </w:p>
    <w:p w14:paraId="64FB8578" w14:textId="77777777" w:rsidR="00B10C68" w:rsidRDefault="00B10C68">
      <w:pPr>
        <w:spacing w:after="0" w:line="240" w:lineRule="auto"/>
        <w:rPr>
          <w:rFonts w:ascii="Times New Roman" w:eastAsia="Times New Roman" w:hAnsi="Times New Roman" w:cs="Times New Roman"/>
          <w:i/>
          <w:sz w:val="20"/>
          <w:szCs w:val="20"/>
        </w:rPr>
      </w:pPr>
      <w:hyperlink r:id="rId14" w:history="1">
        <w:r>
          <w:rPr>
            <w:rStyle w:val="Hyperlink"/>
            <w:rFonts w:ascii="Times New Roman" w:eastAsia="Times New Roman" w:hAnsi="Times New Roman" w:cs="Times New Roman"/>
            <w:i/>
            <w:sz w:val="20"/>
            <w:szCs w:val="20"/>
          </w:rPr>
          <w:t>2207050009@webmail.uad.ac.id</w:t>
        </w:r>
      </w:hyperlink>
    </w:p>
    <w:p w14:paraId="203C4468" w14:textId="77777777" w:rsidR="00B10C68" w:rsidRDefault="00B10C68">
      <w:pPr>
        <w:spacing w:after="0" w:line="240" w:lineRule="auto"/>
        <w:rPr>
          <w:rFonts w:ascii="Times New Roman" w:eastAsia="Times New Roman" w:hAnsi="Times New Roman" w:cs="Times New Roman"/>
        </w:rPr>
      </w:pPr>
    </w:p>
    <w:p w14:paraId="43190E44" w14:textId="77777777" w:rsidR="00B10C68" w:rsidRDefault="00000000">
      <w:pPr>
        <w:pStyle w:val="Heading1"/>
        <w:spacing w:before="0"/>
        <w:rPr>
          <w:i/>
          <w:color w:val="7030A0"/>
          <w:sz w:val="26"/>
          <w:szCs w:val="26"/>
        </w:rPr>
      </w:pPr>
      <w:r>
        <w:rPr>
          <w:color w:val="7030A0"/>
          <w:sz w:val="26"/>
          <w:szCs w:val="26"/>
        </w:rPr>
        <w:t>INTRODUCTION</w:t>
      </w:r>
    </w:p>
    <w:p w14:paraId="3345214B" w14:textId="77777777" w:rsidR="00B10C68"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Critical thinking skills are essential competencies that students must possess to face the challenges of the 21st century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{"citationItems":[{"id":"ITEM-1","itemData":{"DOI":"10.1007/s11423-023-10227-y","ISBN":"0123456789","ISSN":"15566501","abstract":"Critical thinking is identified as a key educational outcome in higher education curricula; however, it is not trivial to support students in building this multifaceted skill. In this study, we evaluated a brief online learning intervention focusing on informal fallacy identification, a hallmark critical-thinking skill. The intervention used a bite-sized video learning approach, which has been shown to promote student engagement. Video-based learning was implemented within a precision teaching (PT) framework, which modulates the exposure of individual learners to the learning material to enable them to build ‘fluency’ in the targeted skills. In one of the learning conditions, PT was applied synergistically with domain-general problem-based training to support generalisation. The intervention consisted of two learning episodes and was administered to three groups (learning conditions) of 19 participants each: a PT fluency-based training group; a PT + group, where PT was combined with problem-based training; and a self-directed learning control group. All three groups showed comparable improvements in fallacy identification on taught (post-episode tests) and unseen materials (post-intervention assessment), with lower-scoring participants showing higher gains than high-scoring participants. The results of the knowledge retention tests a week later were also comparable between groups. Importantly, in the domain-general fallacy-identification assessment (post-intervention), the two PT groups showed higher improvements than the control group. These findings suggest that the integration of bite-sized video learning technologies with PT can improve students’ critical-thinking skills. Furthermore, PT, on its own or combined with problem-based training, can improve their skill to generalise learning to novel contexts. We discuss the educational implications of our findings.","author":[{"dropping-particle":"","family":"Tan","given":"Angel J.Y.","non-dropping-particle":"","parse-names":false,"suffix":""},{"dropping-particle":"","family":"Davies","given":"Jean L.","non-dropping-particle":"","parse-names":false,"suffix":""},{"dropping-particle":"","family":"Nicolson","given":"Roderick I.","non-dropping-particle":"","parse-names":false,"suffix":""},{"dropping-particle":"","family":"Karaminis","given":"Themis","non-dropping-particle":"","parse-names":false,"suffix":""}],"container-title":"Educational Technology Research and Development","id":"ITEM-1","issue":"3","issued":{"date-parts":[["2023"]]},"page":"1275-1296","publisher":"Springer US","title":"Learning critical thinking skills online: can precision teaching help?","type":"article-journal","volume":"71"},"uris":["http://www.mendeley.com/documents/?uuid=091faf78-5c38-4312-b7e4-d7e1adf3e79e"]}],"mendeley":{"formattedCitation":"[1]","plainTextFormattedCitation":"[1]","previouslyFormattedCitation":"[1]"},"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These skills enable students to analyze information, evaluate arguments, and solve problems logically and systematically. In the context of mathematics education, critical thinking is crucial not only for memorizing formulas but also for understanding concepts, identifying relationships among them, and applying them in more complex situations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{"citationItems":[{"id":"ITEM-1","itemData":{"DOI":"10.54373/imeij.v6i3.2900","author":[{"dropping-particle":"","family":"Siswanto","given":"Deny Hadi","non-dropping-particle":"","parse-names":false,"suffix":""},{"dropping-particle":"","family":"Kintoko","given":"","non-dropping-particle":"","parse-names":false,"suffix":""},{"dropping-particle":"","family":"Susetyawati","given":"M M Endang","non-dropping-particle":"","parse-names":false,"suffix":""}],"container-title":"Indo-MathEdu Intellectuals Journal","id":"ITEM-1","issue":"3","issued":{"date-parts":[["2025"]]},"page":"2772-2787","title":"Systematic Literature Review: Realistic Mathematics Education Approach for Enhancing Junior High Students' Critical Thinking Skills","type":"article-journal","volume":"6"},"uris":["http://www.mendeley.com/documents/?uuid=c36efae2-50ae-4759-b7d8-b8cf207af39c"]}],"mendeley":{"formattedCitation":"[2]","plainTextFormattedCitation":"[2]","previouslyFormattedCitation":"[2]"},"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Unfortunately, students’ critical thinking abilities remain relatively low, particularly when dealing with abstract mathematical content such as matrices, which require deep reasoning and analytical thinking for proper understanding and application.</w:t>
      </w:r>
    </w:p>
    <w:p w14:paraId="7E1B04DF" w14:textId="77777777" w:rsidR="00B10C68"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Matrices are a fundamental topic in the high school mathematics curriculum, particularly for Grade XI, due to their connection to other concepts such as systems of linear equations, geometric transformations, and applications in various fields of science and technology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{"citationItems":[{"id":"ITEM-1","itemData":{"DOI":"10.31980/mosharafa.v10i3.981","ISSN":"2086-4280","abstract":"AbstrakKebanyakan siswa SMA mengalami kesulitan dalam menyelesaikan soal matematika sehingga menyebabkan siswa melakukan kesalahan-kesalahan dalam penyelesaian soal. Tujuan penelitian ini untuk menganalisis kesalahan-kesalahan yang dilakukan siswa dalam mengerjakan soal pada materi matriks. Jenis penelitian ini adalah penelitian deskriptif kualitatif. Instrumen pada penelitian ini adalah instrumen tes. Subjek penelitian yaitu 30 siswa XI MIA 1 SMAN 15 Pekanbaru. Hasil analisis kesalahan dalam penelitian ini menunjukkan bahwa siswa melakukan kesalahan dalam menyelesaikan soal matematika berupa kesalahan fakta, kesalahan konsep, kesalahan prinsip dan kesalahan operasi. Persentase kesalahan yang dilakukan siswa pada kesalahan fakta sebesar 18,3%, persentase pada kesalahan konsep sebesar 26,1%, persentasi pada kesalahan prinsip sebesar 25,6%, dan persentase pada kesalahan operasi sebesar 25%. Jenis kesalahan yang paling banyak dilakukan oleh siswa adalah kesalahan konsep. Kesalahan konsep terjadi disebabkan siswa belum memahami konsep materi sehingga menyebabkan siswa kesulitan dalam menyelesaikan soal matematika. The Analysis of Student Errors of Class XI Senior High School Students on Matrix Material AbstractMost high school students have difficulty in solving math problems, causing students to make mistakes in solving problems. This study aimed to analyze students' mistakes in working on the problem in the matrix material. This type of research is descriptive qualitative research. The instruments in this study are test instruments. The research subjects were 30 students of XI MIA 1 SMAN 15 Pekanbaru. The error analysis results showed that students made mistakes in solving math problems in factual errors, concept errors, principle errors, and operating errors. Students' percentage of errors on factual errors was 18.3%, the percentage on conceptual error was 26.1%, the percentage on principle error was 25.6%, and the percentage on operating errors was 25%. The most common type of mistake made by students is a conceptual error. The concept error occurs because the student does not understand the material's concept, causing students difficulty in solving math problems.","author":[{"dropping-particle":"","family":"Khairani","given":"Bella Putri","non-dropping-particle":"","parse-names":false,"suffix":""},{"dropping-particle":"","family":"Kartini","given":"Kartini","non-dropping-particle":"","parse-names":false,"suffix":""}],"container-title":"Mosharafa: Jurnal Pendidikan Matematika","id":"ITEM-1","issue":"3","issued":{"date-parts":[["2021"]]},"page":"505-514","title":"Analisis kesalahan siswa kelas XI SMA pada materi matriks","type":"article-journal","volume":"10"},"uris":["http://www.mendeley.com/documents/?uuid=fadb2a25-824d-46ab-b9c7-657c8a998891"]}],"mendeley":{"formattedCitation":"[3]","plainTextFormattedCitation":"[3]","previouslyFormattedCitation":"[3]"},"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{"citationItems":[{"id":"ITEM-1","itemData":{"DOI":"10.12928/cece.v1i2.1034","author":[{"dropping-particle":"","family":"Siswanto","given":"Deny Hadi","non-dropping-particle":"","parse-names":false,"suffix":""}],"container-title":"Contemporary Education and Community Engagement","id":"ITEM-1","issue":"2","issued":{"date-parts":[["2025"]]},"page":"1-11","title":"The impact of a collaborative problem-based learning on performance in inverse matrix learning, critical thinking skills, and student anxiety","type":"article-journal","volume":"1"},"uris":["http://www.mendeley.com/documents/?uuid=d0864b98-1c96-4c4d-8ad3-6275fa26dd43"]}],"mendeley":{"formattedCitation":"[4]","plainTextFormattedCitation":"[4]","previouslyFormattedCitation":"[4]"},"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However, many students find matrices difficult to understand because of their symbolic and abstract nature, leading to low motivation and difficulties in organizing steps to solve problems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{"citationItems":[{"id":"ITEM-1","itemData":{"DOI":"10.22342/jme.v15i2.pp403-430","ISSN":"24070610","abstract":"Some countries, including Indonesia, have a framework for understanding how students receive and process math concepts as new knowledge through learning styles. Learning style, particularly Kolb's model, is one of the learning styles that contribute to students' success in learning. Experts have explored the characteristics of Kolb's learning style and found many effects on student learning outcomes as a starting point in learning mathematical concepts. However, the research still focuses on exploring integer operation materials in specific math abilities. The researchers hardly found any discourse to study, such as exploring number patterns in computational thinking and semiotic mathematics. Therefore, this study aims to explore mathematical semiotics and computational thinking on number patterns in terms of Kolb's learning style model. This research uses hermeneutic phenomenology to explore through written tests and interviews. An explanation of the components, characteristics, and semiotic characteristics of mathematical and computational thinking seen in students who have the Kolb model of learning in solving problems of number patterns is part of the interpretation. These findings can be used as benchmarks in developing mathematics materials. Thus, this knowledge is a concrete foundation to guide future advances in curriculum, assessment methods, and learning approaches in mathematics education, particularly in algebra.","author":[{"dropping-particle":"","family":"Purwasih","given":"Ratni","non-dropping-particle":"","parse-names":false,"suffix":""},{"dropping-particle":"","family":"Turmudi","given":"","non-dropping-particle":"","parse-names":false,"suffix":""},{"dropping-particle":"","family":"Dahlan","given":"Jarnawi Afgani","non-dropping-particle":"","parse-names":false,"suffix":""}],"container-title":"Journal on Mathematics Education","id":"ITEM-1","issue":"2","issued":{"date-parts":[["2024"]]},"page":"403-430","title":"How do you solve number pattern problems through mathematical semiotics analysis and computational thinking?","type":"article-journal","volume":"15"},"uris":["http://www.mendeley.com/documents/?uuid=75194140-2b99-40df-a113-db4a72c854e7"]}],"mendeley":{"formattedCitation":"[5]","plainTextFormattedCitation":"[5]","previouslyFormattedCitation":"[5]"},"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This issue is further exacerbated by conventional teaching methods that are still dominant in classrooms, which offer little space for students to explore and reflect critically, resulting in teacher-centered learning with minimal student interaction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{"citationItems":[{"id":"ITEM-1","itemData":{"DOI":"10.3390/educsci12030196","ISSN":"22277102","abstract":"Problem-solving skills are advantageous when resolving complicated and multidimensional challenges. Problem-solving skills can be developed through active learning models that engage students in the learning process. One active learning model is RICOSRE. The main focus of RICOSRE is problem-solving activities in (1) reading; (2) identifying the problem; (3) constructing the solution; (4) solving the problem; (5) reviewing the solution; and (6) extending the solution. The purpose of this study was to assess the ongoing development of problem-solving skills of students with upper, middle, and lower academic abilities at the Department of Biology Education in a state university in Indonesia. This study employed a concurrent embedded mixed-methods design. The repeatedmeasures ANOVA was used to test the hypothesis for the quantitative data, and NVivo 12 was utilized to analyze the qualitative data. The participants’ problem-solving skills were determined by their responses to items on RICOSRE-integrated worksheets. The students’ responses were graded using a validated and reliable problem-solving rubric. The findings indicated that the students’ problem-solving skills improved consistently in the upper, middle, and lower academic groups that were taught by implementing RICOSRE.","author":[{"dropping-particle":"","family":"Mahanal","given":"Susriyati","non-dropping-particle":"","parse-names":false,"suffix":""},{"dropping-particle":"","family":"Zubaidah","given":"Siti","non-dropping-particle":"","parse-names":false,"suffix":""},{"dropping-particle":"","family":"Setiawan","given":"Deny","non-dropping-particle":"","parse-names":false,"suffix":""},{"dropping-particle":"","family":"Maghfiroh","given":"Hidayati","non-dropping-particle":"","parse-names":false,"suffix":""},{"dropping-particle":"","family":"Muhaimin","given":"Fahrul Ghani","non-dropping-particle":"","parse-names":false,"suffix":""}],"container-title":"Education Sciences","id":"ITEM-1","issue":"3","issued":{"date-parts":[["2022"]]},"page":"1-17","title":"Empowering college students’ Problem-Solving skills through RICOSRE","type":"article-journal","volume":"12"},"uris":["http://www.mendeley.com/documents/?uuid=bc75ea70-83cd-42d5-bfc6-ff102567fcb4"]}],"mendeley":{"formattedCitation":"[6]","plainTextFormattedCitation":"[6]","previouslyFormattedCitation":"[6]"},"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D96DBEA" w14:textId="77777777" w:rsidR="00B10C68"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a learning model is needed that not only delivers content in a one-way manner but also encourages students’ active participation in each stage of learning. Active participation is key to fostering critical thinking habits, where students are encouraged to observe, question, and evaluate information more deeply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{"citationItems":[{"id":"ITEM-1","itemData":{"DOI":"10.9734/AJEBA/2023/v23i221165","abstract":"Globally, leaders are lighthouses that help direct followers on the right decision to make, whether in careers, entrepreneurship, personal development, education, community and social services, relationships, health, finances, and enacting purpose. In today's data-driven environment characterized by information overload, leaders and organizations seek to harness the full potential of data to improve every facet of endeavor, including leadership; thus, leaders in management and other spheres of human endeavors must rethink leadership methods in line with data analytics. This research investigates the synergistic relationship between innovative leadership and effective data analytics in organizations across different industries. The study assesses the impact of data analysis, visualization, and governance on various aspects of innovative leadership. Structured questionnaires designed using Likert scale questions and statements were used as research instruments to collect data from 490 leaders across five industries, including Accounting and Finance, Marketing, Computer and IT, Business Development, and Education. Statistical analysis, including correlation and linear regression, examined the relationships between data analytics and innovative leadership variables. The research findings support the hypotheses, demonstrating that data Analysis Influences Innovative Behavior in leadership; data Analysis is significantly and positively related to Vision and Strategic Planning; data Visualization significantly impacts Communication Skills in leadership positively; Data Visualization significantly influences Vision and Strategic Planning in leadership positively; while a positive relationship exists between Effective Data Governance and Innovative Behavior. Data analytics is critical in achieving innovative leadership and improving organizational performance. Data analysis, visualization, and governance were essential in driving innovation and fostering clear communication. The paper recommends the promotion of a culture of collaboration and open communication, investment in employee training for data analytics skills, and encouraging innovative thinking through data-driven problem-solving strategies. The research offers a foundation for further investigations into industry-specific nuances and external factors influencing the collaboration between data analytics and innovative leadership.","author":[{"dropping-particle":"","family":"Adigwe","given":"Chinasa Susan","non-dropping-particle":"","parse-names":false,"suffix":""},{"dropping-particle":"","family":"Abalaka","given":"Anthony Idoko","non-dropping-particle":"","parse-names":false,"suffix":""},{"dropping-particle":"","family":"Olaniyi","given":"Oluwaseun Oladeji","non-dropping-particle":"","parse-names":false,"suffix":""},{"dropping-particle":"","family":"Adebiyi","given":"Olubukola Omolara","non-dropping-particle":"","parse-names":false,"suffix":""},{"dropping-particle":"","family":"Oladoyinbo","given":"Tunbosun Oyewale","non-dropping-particle":"","parse-names":false,"suffix":""}],"container-title":"Asian Journal of Economics, Business and Accounting","id":"ITEM-1","issue":"22","issued":{"date-parts":[["2023"]]},"page":"460-479","title":"Critical analysis of innovative leadership through effective data analytics: exploring trends in business analysis, finance, marketing, and information technology","type":"article-journal","volume":"23"},"uris":["http://www.mendeley.com/documents/?uuid=75dab30e-a304-4c55-84a1-8bf5e91648a8"]}],"mendeley":{"formattedCitation":"[7]","plainTextFormattedCitation":"[7]","previouslyFormattedCitation":"[7]"},"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When actively involved, students are not merely passive recipients of knowledge but become constructors of their own understanding based on experience and reflection. In 21st-century education, critical thinking is a vital competence that must be developed to prepare students for the complexities of life and the rapid, diverse flow of information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{"citationItems":[{"id":"ITEM-1","itemData":{"DOI":"10.23887/jere.v6i4.48090","ISSN":"2597-422X","abstract":"Facing the 21st-century learning era, critical thinking skills are very important for students and become one of the goals of education in higher education. To achieve one of these educational goals, learning is needed that can form critical, innovative, creative, and competitive students. This study aims to improve students' critical thinking skills on materials for developing rural and urban areas in a sustainable manner in wetlands, through a team-based project learning model. This research uses a pre-experimental design with one group pretest-posttest. The sample used was 47 students, formed into 11 groups. The team-based project model is carried out in six steps, namely 1) initial orientation, 2) identification of problems (cases), 3) project planning, 4) project implementation, 5) presenting project results, and 6) evaluating project results. Data processing was carried out using pretest and posttest, normality test (Shapiro Wilk), and homogeneity test (Lavene test) and analyzed using a paired sample t-test. The results of the study stated that there are differences in learning outcomes after using the team-based project model in improving students' critical thinking skills in rural and urban areas in a sustainable manner in wetlands. This is because students can integrate theory and practicum by producing products through projects in the form of articles in national journals. So, it can be implied in the learning of each subject, both theory-based and practical, to improve students' critical thinking skills.","author":[{"dropping-particle":"","family":"Aristin","given":"Nevy Farista","non-dropping-particle":"","parse-names":false,"suffix":""},{"dropping-particle":"","family":"Purnomo","given":"Agus","non-dropping-particle":"","parse-names":false,"suffix":""}],"container-title":"Journal of Education Research and Evaluation","id":"ITEM-1","issue":"4","issued":{"date-parts":[["2022"]]},"page":"586-594","title":"Improving critical thinking skill through team-based projects, is it effective?","type":"article-journal","volume":"6"},"uris":["http://www.mendeley.com/documents/?uuid=4b662273-1ef7-4d59-b4a1-0f86844523af"]}],"mendeley":{"formattedCitation":"[8]","plainTextFormattedCitation":"[8]","previouslyFormattedCitation":"[8]"},"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F7F986B" w14:textId="77777777" w:rsidR="00B10C68"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promising model for enhancing critical thinking skills is the Cool, Critical, Creative, and Meaningful (3CM) learning model. This model is designed to create an enjoyable learning atmosphere (cool), encourage analysis and evaluation (critical), stimulate original thinking (creative), and emphasize meaningfulness in the learning process (meaningful)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{"citationItems":[{"id":"ITEM-1","itemData":{"DOI":"10.31980/mosharafa.v10i2.945","ISSN":"2086-4280","abstract":"AbstrakPembelajaran matematika diharapkan dapat mengasah kemampuan berpikir kritis, meskipun pembelajaran secara daring. Penelitian bertujuan menerapkan salah satu model pembelajaran yang menekankan pada aspek berpikir kritis yaitu model 3CM (Cool-Critical-Creative-Meaningfull) pada materi bangun ruang sisi datar dan menganalisis dampaknya terhadap kemampuan berpikir kritis siswa. Populasi penelitian adalah seluruh siswa SMPN di Salatiga, sampelnya 82 siswa dari SMPN 1 Salatiga dan SMPN 6 Salatiga yang dibagi menjadi kelompok eksperimen 1 dan 2. Desain penelitian eksperimen semu ini adalah randomized control grup pretest-postest design. Instrumen tes berbentuk 7 soal uraian, terdiri dari pretest dan posttest dengan rubrik penilaian berdasarkan aspek Focus, Reason, Inference, Situation, Clarity, and Overview. Uji hipotesis menunjukkan penerapan model pembelajaran 3CM dengan dua jenis kegiatan creative yang berbeda yaitu berbasis project dan berbasis problems posing menghasilkan kemampuan berpikir kritis yang sama. Penerapan 3CM dimungkinkan untuk menggunakan dua jenis kegiatan tersebut dalam melakukan aspek creative guna mengasah kemampuan berpikir kritis siswa. The Effectiveness of The 3 CM (Cool-Critical-Creative-Meaningful) Learning Model on The Critical Thinking Ability of SMP StudentsAbstractMathematics learning is expected to hone thinking skills, although learning must be done boldly. This study aims to apply a learning model that emphasizes the critical thinking aspect, namely the 3CM (Cool-Critical-Creative-Meaningful) model on the flat-sided building material, and analyze its impact on students' critical thinking skills. The study population was all students of SMPN in Salatiga, the sample was 82 students from SMPN 1 Salatiga and SMPN 6 Salatiga who were divided into experimental 1 and 2 groups. This quasi-experimental research design was a randomized control group pretest-posttest design. The test instrument is in the form of a description of 7 questions consisting of a pretest and posttest with a rubric based on aspects Focus, Reason, Inference, Situation, Clarity, and Overview. Hypothesis testing that the application of the 3CM learning model with different types of Creative (based on project and problems posing) activities results in the same critical thinking skills.","author":[{"dropping-particle":"","family":"Rizti","given":"Titania Mega","non-dropping-particle":"","parse-names":false,"suffix":""},{"dropping-particle":"","family":"Prihatnani","given":"Erlina","non-dropping-particle":"","parse-names":false,"suffix":""}],"container-title":"Mosharafa: Jurnal Pendidikan Matematika","id":"ITEM-1","issue":"2","issued":{"date-parts":[["2021"]]},"page":"213-224","title":"Efektivitas model pembelajaran 3CM (Cool-Critical-Creative-Meaningfull) terhadap Kemampuan berpikir kritis siswa SMP","type":"article-journal","volume":"10"},"uris":["http://www.mendeley.com/documents/?uuid=57530b30-8974-4bd5-acce-6ba2ea88a35d"]}],"mendeley":{"formattedCitation":"[9]","plainTextFormattedCitation":"[9]","previouslyFormattedCitation":"[9]"},"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By combining these four aspects, the 3CM model provides a broad space for students to explore ideas, question assumptions, and develop higher-order thinking skills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{"citationItems":[{"id":"ITEM-1","itemData":{"ISBN":"1111111111","ISSN":"19326203","PMID":"38709786","abstract":"Background Stunting is associated with adverse outcomes in adulthood. This article specifically aims to analyse the relationship between childhood stunting and education as well as cognitive outcomes for adults in Indonesia. Methods Pooled data from wave one (1) and two (2) of the Indonesia Family Life Survey (IFLS) in 1993 and 1997 identified a sub-sample of 4,379 children aged 0–5 by their height-for-age (HAZ) to be compared for their differences in educational outcomes and cognitive abilities in 2014. HAZ was used to proxy relative height to determine stunting status based on 2006 WHO child’s growth standards. Education and cognitive abilities outcomes include years of schooling, age of school entry, grade repetition, and scores for cognitive and math tests. The study employs estimation models of pooled regressions and instrumental variable (IV) to address problems of endogeneity and bias from omitted variables. Results Stunting and relatively small stature had significant associations with cognitive development, and they worked as intermediaries to cognitive developmental barriers as manifested in reduced educational outcomes. A lack of one SD in HAZ was associated with 0.6 years shortened length of the school, 3% higher chances of dropouts from secondary school, and 0.10–0.23 SD lowered cognitive and numerical scores. Similarly, stunting is associated with decrease cognitive test scores by 0.56–0.8 SD compared to non-stunting, two years less schooling, and 0.4 years of delayed entry to school. As for cognitive abilities, stunting is associated with lower cognitive and numerical abilities by 0.38–0.82 z-scores. Conclusion Growth retardation during childhood in Indonesia was associated with lower cognitive abilities, particularly during school age, and this correlation faded as individuals grew up. Subsequently, growth retardation is significantly linked to lower educational outcomes. Impaired growth has implications for reduced lifetime earnings potential mediated by diminished cognitive capacity and lower educational attainment. The finding suggests that development in Indonesia during recent decades has not provided an adequate environment to enable children to achieve their potential educational outcomes.","author":[{"dropping-particle":"","family":"Lestari","given":"Esta","non-dropping-particle":"","parse-names":false,"suffix":""},{"dropping-particle":"","family":"Siregar","given":"Adiatma","non-dropping-particle":"","parse-names":false,"suffix":""},{"dropping-particle":"","family":"Hidayat","given":"Achmad K.","non-dropping-particle":"","parse-names":false,"suffix":""},{"dropping-particle":"","family":"Yusuf","given":"Arief A.","non-dropping-particle":"","parse-names":false,"suffix":""}],"container-title":"PLoS ONE","id":"ITEM-1","issue":"5","issued":{"date-parts":[["2024"]]},"page":"1-18","title":"Stunting and its association with education and cognitive outcomes in adulthood: A longitudinal study in Indonesia","type":"article-journal","volume":"19"},"uris":["http://www.mendeley.com/documents/?uuid=a4cc2d7b-b62f-4a9c-84de-e4ac98f6624d"]}],"mendeley":{"formattedCitation":"[10]","plainTextFormattedCitation":"[10]","previouslyFormattedCitation":"[10]"},"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Teachers act as facilitators who guide the learning process flexibly, fostering dialogical, collaborative interactions that empower students' thinking abilities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{"citationItems":[{"id":"ITEM-1","itemData":{"DOI":"10.69714/t476vs25","author":[{"dropping-particle":"","family":"Siswanto","given":"Deny Hadi","non-dropping-particle":"","parse-names":false,"suffix":""},{"dropping-particle":"","family":"Kintoko","given":"","non-dropping-particle":"","parse-names":false,"suffix":""},{"dropping-particle":"","family":"Tarso","given":"","non-dropping-particle":"","parse-names":false,"suffix":""}],"container-title":"Jurnal Ilmiah Multidisiplin Ilmu","id":"ITEM-1","issue":"2","issued":{"date-parts":[["2025"]]},"page":"105-112","title":"Efektivitas musik klasik dalam mengurangi kecemasan matematika murid","type":"article-journal","volume":"2"},"uris":["http://www.mendeley.com/documents/?uuid=b42e2052-2679-47ef-af32-938b74a8cafa"]}],"mendeley":{"formattedCitation":"[11]","plainTextFormattedCitation":"[11]","previouslyFormattedCitation":"[11]"},"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D0716D0" w14:textId="77777777" w:rsidR="00B10C68"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3CM model emphasizes meaning-making through an approach that links students’ prior knowledge to new concepts being learned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{"citationItems":[{"id":"ITEM-1","itemData":{"DOI":"10.1088/1742-6596/1321/2/022063","ISSN":"17426596","abstract":"This research aims to develop a 3CM learning model to support student to improve their creative thinking skills. The method used in this research was R&amp;D with ASSURE development model consisting of six stages: 1) analyze learners, 2) state objectives, 3) select method, media, and materials, 4) utilize media and materials, 5) require learner participation, 6) evaluated and revise. The participants in the research is pre-service primary teacher students. Product validation was done through an expert's assessment by using the expert's validation sheet. The practicality of the product is tested with limited trials with college lecturers and some students with questionnaires and interviews. Product effectiveness was seen by implementing limited development testing to a particular class with a group pretest-posttest design and the result was analyzed by using a Paired-Samples T-Test. The result of this research is a 3CM learning model to support students' to improve their creative thinking skills. The validity and practical of the learning model was proven by the result of the expert assessment in learning and limited test by peers and students in small group, material and instructional media. The effectiveness of the learning model was also proven based on Paired-Samples T-Test of students' pretest and posttest.","author":[{"dropping-particle":"","family":"Wahyudi","given":"","non-dropping-particle":"","parse-names":false,"suffix":""},{"dropping-particle":"","family":"Waluya","given":"S. B.","non-dropping-particle":"","parse-names":false,"suffix":""},{"dropping-particle":"","family":"Suyitno","given":"H.","non-dropping-particle":"","parse-names":false,"suffix":""},{"dropping-particle":"","family":"Isnarto","given":"","non-dropping-particle":"","parse-names":false,"suffix":""}],"container-title":"Journal of Physics: Conference Series","id":"ITEM-1","issue":"2","issued":{"date-parts":[["2019"]]},"page":"0-9","title":"Development of 3CM (Cool-Critical-Creative-Meaningful) learning model to increase creative thinking skill","type":"article-journal","volume":"1321"},"uris":["http://www.mendeley.com/documents/?uuid=5c1da76e-309e-44c1-80ab-1f3124ff4444"]}],"mendeley":{"formattedCitation":"[12]","plainTextFormattedCitation":"[12]","previouslyFormattedCitation":"[12]"},"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Students are encouraged to construct new understanding through exploration and discussion, and to verify information critically through reflection and testing. This process positions students as active learners who are given opportunities to develop independent and responsible thinking. The stages of this model guide students to ask questions, express ideas, and reflect on their thinking more systematically and deeply, making the learning experience more enjoyable, personally meaningful, and impactful on learning outcomes.</w:t>
      </w:r>
    </w:p>
    <w:p w14:paraId="44031084" w14:textId="77777777" w:rsidR="00B10C68"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studies Abidah et al.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{"citationItems":[{"id":"ITEM-1","itemData":{"abstract":"Creative thinking skill needs to be trained, even though the learning is conducted online these days. One of the attempts in developing students' creative thinking skill is through the implementation of 3CM (Cool-Critical-Creative-Meaningful) learning model. This study aimed at analyzing the students' creative thinking skill through the implementation of the model with two different creative products (problem construction and non-problem construction) in flat-surfaced three-dimensional object. The population of this research was the whole Junior High School students in Salatiga City with the 80 samples of students from SMP Negeri 1 Salatiga and SMP Negeri 6 Salatiga. This study applied quasi experiment research with pretest-posttest control group design. The data were collected through written test and the result of observation on the students. The data analysis used involves initial balance test and hypothesis test using parametric test called Independent Sample T-Test with the significance rate of α=5%. Before being administered with different treatments, the two samples class were in a balanced condition. The findings presented that the implementation of 3CM (Cool-Critical-Creative-Meaningful) with creative activity of project and problem posing (constructing problem and solving constructed problem) for the material of flat-surfaced three-dimensional object proved to be significantly affect, equally, the creative thinking skill.","author":[{"dropping-particle":"","family":"Abidah","given":"Hafilda Suha","non-dropping-particle":"","parse-names":false,"suffix":""},{"dropping-particle":"","family":"Prihatnani","given":"Erlina","non-dropping-particle":"","parse-names":false,"suffix":""},{"dropping-particle":"","family":"Info","given":"Article","non-dropping-particle":"","parse-names":false,"suffix":""}],"container-title":"Scholaria: Jurnal Pendidikan dan Kebudayaan","id":"ITEM-1","issue":"3","issued":{"date-parts":[["2023"]]},"page":"250-262","title":"The experiment of 3CM learning model on the creative thinking ability of Junior High School students in Salatiga Indonesia","type":"article-journal","volume":"13"},"uris":["http://www.mendeley.com/documents/?uuid=22afe0e8-cf47-4d5e-ba28-189665e9f1fc"]}],"mendeley":{"formattedCitation":"[13]","plainTextFormattedCitation":"[13]","previouslyFormattedCitation":"[13]"},"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have shown that the 3CM model can have a positive impact on conceptual understanding and higher-order thinking skills. Students engaged in learning with this model tend to be more active, reflective, and capable of constructing logical arguments. However, studies specifically examining the impact of the 3CM model on students' critical thinking skills in the topic of matrices remain scarce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{"citationItems":[{"id":"ITEM-1","itemData":{"DOI":"10.22460/jpmi.v7i3.22222","ISSN":"2614-221X","abstract":"This research aims to determine the differences in the mathematical critical thinking abilities of students who use the 3CM learning model and students who use the direct learning model with a scientific approach, the influence of the 3CM learning model on students' mathematical critical thinking abilities and student learning activities. The type and research design used is quantitative research with a Quasi Experimental design in the form of a Nonequivalent Posttest-Only Control Design. The sampling technique used was purposive sampling. The data collection instruments were posttest mathematical critical thinking skills and observation sheets of student learning activities. Data analysis techniques in this research are normality test, homogeneity test, independent two-sample t-test, and percentage of student learning activities. The results of the research show that the mathematical critical thinking abilities of students who use the 3CM learning model are higher than students who use the direct learning model with a scientific approach, the 3CM learning model has a big influence on students' mathematical critical thinking abilities, and student activities are classified as very active after implementing the 3CM learning model.","author":[{"dropping-particle":"","family":"Aprioda","given":"Aprioda","non-dropping-particle":"","parse-names":false,"suffix":""},{"dropping-particle":"","family":"Utami","given":"Citra","non-dropping-particle":"","parse-names":false,"suffix":""},{"dropping-particle":"","family":"Husna","given":"Nurul","non-dropping-particle":"","parse-names":false,"suffix":""}],"container-title":"JPMI (Jurnal Pembelajaran Matematika Inovatif)","id":"ITEM-1","issue":"3","issued":{"date-parts":[["2024"]]},"page":"459-468","title":"Pengaruh model pembelajaran 3CM (Cool-Critical-Creative-Meaningfull) terhadap kemampuan berpikir kritis siswa kelas VIII","type":"article-journal","volume":"7"},"uris":["http://www.mendeley.com/documents/?uuid=9d2ebcc0-f591-4084-b841-8776bc0abcb2"]}],"mendeley":{"formattedCitation":"[14]","plainTextFormattedCitation":"[14]","previouslyFormattedCitation":"[14]"},"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This presents an opportunity for further research to determine the effectiveness of the 3CM model in the context of mathematics learning, especially in abstract and challenging topics like matrices.</w:t>
      </w:r>
      <w:r>
        <w:rPr>
          <w:rFonts w:ascii="Times New Roman" w:eastAsia="Times New Roman" w:hAnsi="Times New Roman" w:cs="Times New Roman"/>
          <w:sz w:val="24"/>
          <w:szCs w:val="24"/>
        </w:rPr>
        <w:br/>
        <w:t xml:space="preserve">The 3CM model is also in line with the Merdeka Curriculum approach, which emphasizes learner autonomy and the development of higher-order thinking competencies. In this approach, students are positioned as active agents in constructing knowledge through structured and meaningful processes, while teachers act as facilitators who help students explore and develop their understanding independently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{"citationItems":[{"id":"ITEM-1","itemData":{"DOI":"10.12928/cece.v1i2.1271","author":[{"dropping-particle":"","family":"Wantoro","given":"Hari","non-dropping-particle":"","parse-names":false,"suffix":""},{"dropping-particle":"","family":"Afandi","given":"Muhammad Misbahul","non-dropping-particle":"","parse-names":false,"suffix":""},{"dropping-particle":"","family":"Siswanto","given":"Deny Hadi","non-dropping-particle":"","parse-names":false,"suffix":""}],"container-title":"Contemporary Education and Community Engagement","id":"ITEM-1","issue":"2","issued":{"date-parts":[["2025"]]},"page":"51-63","title":"Development of a Guided Discovery-Based scientific approach Mmdule for enhancing Problem-Solving Skills","type":"article-journal","volume":"1"},"uris":["http://www.mendeley.com/documents/?uuid=def0fab9-fd81-456a-adee-464456a5a38b"]},{"id":"ITEM-2","itemData":{"DOI":"10.69714/xaewmx28","author":[{"dropping-particle":"","family":"Efendi","given":"Rif’an","non-dropping-particle":"","parse-names":false,"suffix":""},{"dropping-particle":"","family":"Siswanto","given":"Deny Hadi","non-dropping-particle":"","parse-names":false,"suffix":""},{"dropping-particle":"","family":"Saputra","given":"Surya Adi","non-dropping-particle":"","parse-names":false,"suffix":""}],"container-title":"Jurnal Padamu Negeri","id":"ITEM-2","issue":"2","issued":{"date-parts":[["2025"]]},"page":"87-97","title":"Deep Learning approach to teaching multiplication concepts using coin media: Classroom ction research in Elementary School","type":"article-journal","volume":"2"},"uris":["http://www.mendeley.com/documents/?uuid=f90a340f-f5a5-4077-a7d4-96c23084de12"]}],"mendeley":{"formattedCitation":"[15], [16]","plainTextFormattedCitation":"[15], [16]","previouslyFormattedCitation":"[15], [16]"},"properties":{"noteIndex":0},"schema":"https://github.com/citation-style-language/schema/raw/master/csl-citation.json"}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[15], [16]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449D619C" w14:textId="77777777" w:rsidR="00B10C68" w:rsidRDefault="0000000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the implementation of the 3CM model in mathematics education is expected to create a fun, challenging learning environment that encourages students to think critically and improves the quality of instruction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{"citationItems":[{"id":"ITEM-1","itemData":{"author":[{"dropping-particle":"","family":"Nurajijjah","given":"Novi Alpani","non-dropping-particle":"","parse-names":false,"suffix":""},{"dropping-particle":"","family":"Fatimah","given":"Titim","non-dropping-particle":"","parse-names":false,"suffix":""},{"dropping-particle":"","family":"Pratiwi","given":"Inne Martthyane","non-dropping-particle":"","parse-names":false,"suffix":""}],"container-title":"TADRUSUUN","id":"ITEM-1","issue":"2","issued":{"date-parts":[["2024"]]},"page":"294-304","title":"Pengaruh model pembelajaran 3CM dalam meningkatkan keterampilan berpikir kreatif siswa","type":"article-journal","volume":"3"},"uris":["http://www.mendeley.com/documents/?uuid=c32a7e2a-72ff-4948-846d-3c33eedb2ff8"]}],"mendeley":{"formattedCitation":"[17]","plainTextFormattedCitation":"[17]","previouslyFormattedCitation":"[17]"},"properties":{"noteIndex":0},"schema":"https://github.com/citation-style-language/schema/raw/master/csl-citation.json"}</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This study aims to investigate the impact of applying the 3CM model on improving students’ critical thinking skills in the matrix topic and to describe how the learning process through this model can support students in developing a </w:t>
      </w:r>
      <w:r>
        <w:rPr>
          <w:rFonts w:ascii="Times New Roman" w:eastAsia="Times New Roman" w:hAnsi="Times New Roman" w:cs="Times New Roman"/>
          <w:sz w:val="24"/>
          <w:szCs w:val="24"/>
        </w:rPr>
        <w:lastRenderedPageBreak/>
        <w:t>deeper understanding. The results of this study are expected to contribute to the development of innovative instructional models that can improve the quality of mathematics learning at the secondary school level.</w:t>
      </w:r>
    </w:p>
    <w:p w14:paraId="64B6665A" w14:textId="77777777" w:rsidR="00B10C68" w:rsidRDefault="00B10C68">
      <w:pPr>
        <w:spacing w:after="0" w:line="240" w:lineRule="auto"/>
        <w:ind w:firstLine="426"/>
        <w:jc w:val="both"/>
        <w:rPr>
          <w:rFonts w:ascii="Times New Roman" w:eastAsia="Times New Roman" w:hAnsi="Times New Roman" w:cs="Times New Roman"/>
          <w:sz w:val="24"/>
          <w:szCs w:val="24"/>
        </w:rPr>
      </w:pPr>
    </w:p>
    <w:p w14:paraId="44816BE1" w14:textId="77777777" w:rsidR="00B10C68" w:rsidRDefault="00000000">
      <w:pPr>
        <w:pStyle w:val="Heading1"/>
        <w:spacing w:before="0"/>
        <w:rPr>
          <w:i/>
          <w:color w:val="7030A0"/>
          <w:sz w:val="26"/>
          <w:szCs w:val="26"/>
        </w:rPr>
      </w:pPr>
      <w:r>
        <w:rPr>
          <w:color w:val="7030A0"/>
          <w:sz w:val="26"/>
          <w:szCs w:val="26"/>
        </w:rPr>
        <w:t xml:space="preserve">METHOD </w:t>
      </w:r>
    </w:p>
    <w:p w14:paraId="341460C5" w14:textId="77777777" w:rsidR="00B10C68"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employs a quantitative approach with a one-group pretest-posttest pre-experimental design to examine the effect of the 3CM model on improving students’ critical thinking skills in matrix material. The research subjects were 30 eleventh-grade science students at SMA Muhammadiyah Mlati, selected using a non-probability sampling technique. The research instruments included a questionnaire (5-point Likert scale) consisting of 10 items to measure students’ perceptions of the 3CM-based learning model and a critical thinking skills test consisting of 5 questions, developed based on Ennis </w:t>
      </w: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ADDIN CSL_CITATION {"citationItems":[{"id":"ITEM-1","itemData":{"author":[{"dropping-particle":"","family":"Ennis","given":"Robert","non-dropping-particle":"","parse-names":false,"suffix":""}],"container-title":"Teaching Philosophy","id":"ITEM-1","issue":"14:1","issued":{"date-parts":[["1991"]]},"page":"5-24","title":"Critical Thinking: A Streamlined Conception","type":"article-journal"},"uris":["http://www.mendeley.com/documents/?uuid=4428f0a5-85d8-470c-99c7-baa3d2a52d4b"]}],"mendeley":{"formattedCitation":"[18]","plainTextFormattedCitation":"[18]","previouslyFormattedCitation":"[18]"},"properties":{"noteIndex":0},"schema":"https://github.com/citation-style-language/schema/raw/master/csl-citation.json"}</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[18]</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indicators: Focus, Reason, Inference, Situation, Clarity, and Overview. The research procedure consisted of three stages: preparation (instrument validation), implementation (pretest administration, 3CM model-based learning, and posttest administration), and data analysis. The data were analyzed using SPSS-25 through validity, reliability, normality, regression, and gain tests to determine the contribution and improvement of students' numeracy skills following the intervention.</w:t>
      </w:r>
    </w:p>
    <w:p w14:paraId="5572F831" w14:textId="77777777" w:rsidR="008348A2" w:rsidRPr="008348A2" w:rsidRDefault="008348A2" w:rsidP="008348A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8348A2">
        <w:rPr>
          <w:rFonts w:ascii="Times New Roman" w:eastAsia="Times New Roman" w:hAnsi="Times New Roman" w:cs="Times New Roman"/>
          <w:color w:val="000000"/>
          <w:sz w:val="24"/>
          <w:szCs w:val="24"/>
        </w:rPr>
        <w:t xml:space="preserve">The implementation of the 3CM learning model in this study was conducted through several structured learning stages adapted to the characteristics of matrix material. In the </w:t>
      </w:r>
      <w:r w:rsidRPr="008348A2">
        <w:rPr>
          <w:rFonts w:ascii="Times New Roman" w:eastAsia="Times New Roman" w:hAnsi="Times New Roman" w:cs="Times New Roman"/>
          <w:i/>
          <w:iCs/>
          <w:color w:val="000000"/>
          <w:sz w:val="24"/>
          <w:szCs w:val="24"/>
        </w:rPr>
        <w:t>Cool</w:t>
      </w:r>
      <w:r w:rsidRPr="008348A2">
        <w:rPr>
          <w:rFonts w:ascii="Times New Roman" w:eastAsia="Times New Roman" w:hAnsi="Times New Roman" w:cs="Times New Roman"/>
          <w:color w:val="000000"/>
          <w:sz w:val="24"/>
          <w:szCs w:val="24"/>
        </w:rPr>
        <w:t xml:space="preserve"> stage, the teacher created an engaging and supportive learning atmosphere by presenting contextual problems related to matrices to stimulate students’ interest and motivation. In the </w:t>
      </w:r>
      <w:r w:rsidRPr="008348A2">
        <w:rPr>
          <w:rFonts w:ascii="Times New Roman" w:eastAsia="Times New Roman" w:hAnsi="Times New Roman" w:cs="Times New Roman"/>
          <w:i/>
          <w:iCs/>
          <w:color w:val="000000"/>
          <w:sz w:val="24"/>
          <w:szCs w:val="24"/>
        </w:rPr>
        <w:t>Critical</w:t>
      </w:r>
      <w:r w:rsidRPr="008348A2">
        <w:rPr>
          <w:rFonts w:ascii="Times New Roman" w:eastAsia="Times New Roman" w:hAnsi="Times New Roman" w:cs="Times New Roman"/>
          <w:color w:val="000000"/>
          <w:sz w:val="24"/>
          <w:szCs w:val="24"/>
        </w:rPr>
        <w:t xml:space="preserve"> stage, students were encouraged to analyze problems, identify relevant concepts, and discuss possible solution strategies collaboratively. During the </w:t>
      </w:r>
      <w:r w:rsidRPr="008348A2">
        <w:rPr>
          <w:rFonts w:ascii="Times New Roman" w:eastAsia="Times New Roman" w:hAnsi="Times New Roman" w:cs="Times New Roman"/>
          <w:i/>
          <w:iCs/>
          <w:color w:val="000000"/>
          <w:sz w:val="24"/>
          <w:szCs w:val="24"/>
        </w:rPr>
        <w:t>Creative</w:t>
      </w:r>
      <w:r w:rsidRPr="008348A2">
        <w:rPr>
          <w:rFonts w:ascii="Times New Roman" w:eastAsia="Times New Roman" w:hAnsi="Times New Roman" w:cs="Times New Roman"/>
          <w:color w:val="000000"/>
          <w:sz w:val="24"/>
          <w:szCs w:val="24"/>
        </w:rPr>
        <w:t xml:space="preserve"> stage, students developed alternative methods and explored various ways to solve matrix problems independently or in groups. Finally, in the </w:t>
      </w:r>
      <w:r w:rsidRPr="008348A2">
        <w:rPr>
          <w:rFonts w:ascii="Times New Roman" w:eastAsia="Times New Roman" w:hAnsi="Times New Roman" w:cs="Times New Roman"/>
          <w:i/>
          <w:iCs/>
          <w:color w:val="000000"/>
          <w:sz w:val="24"/>
          <w:szCs w:val="24"/>
        </w:rPr>
        <w:t>Meaningful</w:t>
      </w:r>
      <w:r w:rsidRPr="008348A2">
        <w:rPr>
          <w:rFonts w:ascii="Times New Roman" w:eastAsia="Times New Roman" w:hAnsi="Times New Roman" w:cs="Times New Roman"/>
          <w:color w:val="000000"/>
          <w:sz w:val="24"/>
          <w:szCs w:val="24"/>
        </w:rPr>
        <w:t xml:space="preserve"> stage, students reflected on the learning process and connected the concepts learned with real-life applications to strengthen conceptual understanding and long-term retention.</w:t>
      </w:r>
    </w:p>
    <w:p w14:paraId="36A841D9" w14:textId="77777777" w:rsidR="008348A2" w:rsidRPr="008348A2" w:rsidRDefault="008348A2" w:rsidP="008348A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8348A2">
        <w:rPr>
          <w:rFonts w:ascii="Times New Roman" w:eastAsia="Times New Roman" w:hAnsi="Times New Roman" w:cs="Times New Roman"/>
          <w:color w:val="000000"/>
          <w:sz w:val="24"/>
          <w:szCs w:val="24"/>
        </w:rPr>
        <w:t>To analyze the improvement in students’ critical thinking skills, descriptive and inferential statistical analyses were employed. Descriptive statistics were used to determine the mean scores of the pretest and posttest results for each critical thinking indicator, while inferential statistics were conducted through simple linear regression analysis to examine the effect of the 3CM learning model on students’ critical thinking skills. In addition, gain score analysis was used to identify the extent of students’ improvement after the intervention. The interpretation of the results was carried out by comparing the statistical findings with relevant theories and previous studies concerning critical thinking and innovative mathematics learning models.</w:t>
      </w:r>
    </w:p>
    <w:p w14:paraId="1AAD9AA3" w14:textId="77777777" w:rsidR="008348A2" w:rsidRDefault="008348A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0CD12ABB" w14:textId="77777777" w:rsidR="00B10C68" w:rsidRDefault="00B10C68">
      <w:pPr>
        <w:pStyle w:val="Heading1"/>
        <w:tabs>
          <w:tab w:val="center" w:pos="4513"/>
        </w:tabs>
        <w:spacing w:before="0"/>
        <w:rPr>
          <w:color w:val="7030A0"/>
          <w:sz w:val="26"/>
          <w:szCs w:val="26"/>
        </w:rPr>
      </w:pPr>
    </w:p>
    <w:p w14:paraId="4F60EE25" w14:textId="77777777" w:rsidR="00B10C68" w:rsidRDefault="00000000">
      <w:pPr>
        <w:pStyle w:val="Heading1"/>
        <w:tabs>
          <w:tab w:val="center" w:pos="4513"/>
        </w:tabs>
        <w:spacing w:before="0"/>
        <w:jc w:val="both"/>
        <w:rPr>
          <w:color w:val="7030A0"/>
          <w:sz w:val="26"/>
          <w:szCs w:val="26"/>
        </w:rPr>
      </w:pPr>
      <w:r>
        <w:rPr>
          <w:color w:val="7030A0"/>
          <w:sz w:val="26"/>
          <w:szCs w:val="26"/>
        </w:rPr>
        <w:t xml:space="preserve">RESULTS AND DISCUSSION </w:t>
      </w:r>
    </w:p>
    <w:p w14:paraId="549CF3B5" w14:textId="77777777" w:rsidR="00B10C68" w:rsidRDefault="00000000">
      <w:pPr>
        <w:pStyle w:val="Heading4"/>
        <w:spacing w:before="0" w:line="240" w:lineRule="auto"/>
        <w:rPr>
          <w:rFonts w:ascii="Times New Roman" w:eastAsia="Times New Roman" w:hAnsi="Times New Roman" w:cs="Times New Roman"/>
          <w:b/>
          <w:color w:val="7030A0"/>
          <w:sz w:val="24"/>
          <w:szCs w:val="24"/>
        </w:rPr>
      </w:pPr>
      <w:r>
        <w:rPr>
          <w:rFonts w:ascii="Times New Roman" w:eastAsia="Times New Roman" w:hAnsi="Times New Roman" w:cs="Times New Roman"/>
          <w:b/>
          <w:color w:val="7030A0"/>
          <w:sz w:val="24"/>
          <w:szCs w:val="24"/>
        </w:rPr>
        <w:t xml:space="preserve">Results </w:t>
      </w:r>
    </w:p>
    <w:p w14:paraId="243E40AB" w14:textId="77777777" w:rsidR="00B10C68"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validity test was conducted prior to the implementation of the research or before the collection of pretest and posttest data. This process aimed to ensure that the instruments used accurately measured the intended variables. In this study, validity and reliability tests were carried out using SPSS-25 software. The instruments were tested on twelfth-grade science students at SMA Muhammadiyah Mlati who had previously studied the relevant material. An item was considered valid if the Pearson correlation coefficient (r</w:t>
      </w:r>
      <w:r>
        <w:rPr>
          <w:rFonts w:ascii="Times New Roman" w:eastAsia="Times New Roman" w:hAnsi="Times New Roman" w:cs="Times New Roman"/>
          <w:sz w:val="24"/>
          <w:szCs w:val="24"/>
          <w:vertAlign w:val="subscript"/>
        </w:rPr>
        <w:t>count</w:t>
      </w:r>
      <w:r>
        <w:rPr>
          <w:rFonts w:ascii="Times New Roman" w:eastAsia="Times New Roman" w:hAnsi="Times New Roman" w:cs="Times New Roman"/>
          <w:sz w:val="24"/>
          <w:szCs w:val="24"/>
        </w:rPr>
        <w:t>) was greater than the r</w:t>
      </w:r>
      <w:r>
        <w:rPr>
          <w:rFonts w:ascii="Times New Roman" w:eastAsia="Times New Roman" w:hAnsi="Times New Roman" w:cs="Times New Roman"/>
          <w:sz w:val="24"/>
          <w:szCs w:val="24"/>
          <w:vertAlign w:val="subscript"/>
        </w:rPr>
        <w:t>table</w:t>
      </w:r>
      <w:r>
        <w:rPr>
          <w:rFonts w:ascii="Times New Roman" w:eastAsia="Times New Roman" w:hAnsi="Times New Roman" w:cs="Times New Roman"/>
          <w:sz w:val="24"/>
          <w:szCs w:val="24"/>
        </w:rPr>
        <w:t xml:space="preserve"> value, and deemed reliable if the significance value of Cronbach's Alpha was greater than 0.05. Table 1 presents the results of the validity and reliability tests for the questionnaire and test instruments using SPSS-25.</w:t>
      </w:r>
    </w:p>
    <w:p w14:paraId="0343B8C4" w14:textId="77777777" w:rsidR="00B10C68" w:rsidRDefault="00000000">
      <w:pPr>
        <w:spacing w:after="0" w:line="240" w:lineRule="auto"/>
        <w:ind w:right="6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Table 1. Hasil Uji Validitas danReliabilitas</w:t>
      </w:r>
    </w:p>
    <w:tbl>
      <w:tblPr>
        <w:tblStyle w:val="TableGrid"/>
        <w:tblW w:w="0" w:type="auto"/>
        <w:tblInd w:w="226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792"/>
        <w:gridCol w:w="780"/>
        <w:gridCol w:w="824"/>
        <w:gridCol w:w="780"/>
        <w:gridCol w:w="780"/>
      </w:tblGrid>
      <w:tr w:rsidR="00B10C68" w14:paraId="68C52129" w14:textId="77777777">
        <w:tc>
          <w:tcPr>
            <w:tcW w:w="2383" w:type="dxa"/>
            <w:gridSpan w:val="3"/>
            <w:tcBorders>
              <w:top w:val="single" w:sz="4" w:space="0" w:color="auto"/>
              <w:bottom w:val="nil"/>
            </w:tcBorders>
          </w:tcPr>
          <w:p w14:paraId="5813E61B" w14:textId="77777777" w:rsidR="00B10C68" w:rsidRDefault="00000000">
            <w:pPr>
              <w:ind w:right="6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Test</w:t>
            </w:r>
          </w:p>
        </w:tc>
        <w:tc>
          <w:tcPr>
            <w:tcW w:w="2300" w:type="dxa"/>
            <w:gridSpan w:val="3"/>
            <w:tcBorders>
              <w:top w:val="single" w:sz="4" w:space="0" w:color="auto"/>
              <w:bottom w:val="nil"/>
            </w:tcBorders>
          </w:tcPr>
          <w:p w14:paraId="0E6F8EC7" w14:textId="77777777" w:rsidR="00B10C68" w:rsidRDefault="00000000">
            <w:pPr>
              <w:ind w:right="6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Questionnaire</w:t>
            </w:r>
          </w:p>
        </w:tc>
      </w:tr>
      <w:tr w:rsidR="00B10C68" w14:paraId="5836B966" w14:textId="77777777">
        <w:tc>
          <w:tcPr>
            <w:tcW w:w="811" w:type="dxa"/>
            <w:tcBorders>
              <w:top w:val="nil"/>
              <w:bottom w:val="single" w:sz="4" w:space="0" w:color="auto"/>
            </w:tcBorders>
          </w:tcPr>
          <w:p w14:paraId="6D961CED" w14:textId="77777777" w:rsidR="00B10C68" w:rsidRDefault="00000000">
            <w:pPr>
              <w:ind w:right="6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Items</w:t>
            </w:r>
          </w:p>
        </w:tc>
        <w:tc>
          <w:tcPr>
            <w:tcW w:w="792" w:type="dxa"/>
            <w:tcBorders>
              <w:top w:val="nil"/>
              <w:bottom w:val="single" w:sz="4" w:space="0" w:color="auto"/>
            </w:tcBorders>
          </w:tcPr>
          <w:p w14:paraId="32E093AE" w14:textId="77777777" w:rsidR="00B10C68" w:rsidRDefault="00000000">
            <w:pPr>
              <w:ind w:right="6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w:t>
            </w:r>
            <w:r>
              <w:rPr>
                <w:rFonts w:ascii="Times New Roman" w:eastAsia="Times New Roman" w:hAnsi="Times New Roman" w:cs="Times New Roman"/>
                <w:b/>
                <w:color w:val="000000"/>
                <w:vertAlign w:val="subscript"/>
              </w:rPr>
              <w:t>count</w:t>
            </w:r>
          </w:p>
        </w:tc>
        <w:tc>
          <w:tcPr>
            <w:tcW w:w="780" w:type="dxa"/>
            <w:tcBorders>
              <w:top w:val="nil"/>
              <w:bottom w:val="single" w:sz="4" w:space="0" w:color="auto"/>
            </w:tcBorders>
          </w:tcPr>
          <w:p w14:paraId="6C8E3D1F" w14:textId="77777777" w:rsidR="00B10C68" w:rsidRDefault="00000000">
            <w:pPr>
              <w:ind w:right="6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Sig.</w:t>
            </w:r>
          </w:p>
        </w:tc>
        <w:tc>
          <w:tcPr>
            <w:tcW w:w="824" w:type="dxa"/>
            <w:tcBorders>
              <w:top w:val="nil"/>
              <w:bottom w:val="single" w:sz="4" w:space="0" w:color="auto"/>
            </w:tcBorders>
          </w:tcPr>
          <w:p w14:paraId="27CBAFF8" w14:textId="77777777" w:rsidR="00B10C68" w:rsidRDefault="00000000">
            <w:pPr>
              <w:ind w:right="6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Items</w:t>
            </w:r>
          </w:p>
        </w:tc>
        <w:tc>
          <w:tcPr>
            <w:tcW w:w="780" w:type="dxa"/>
            <w:tcBorders>
              <w:top w:val="nil"/>
              <w:bottom w:val="single" w:sz="4" w:space="0" w:color="auto"/>
            </w:tcBorders>
          </w:tcPr>
          <w:p w14:paraId="4C2A918A" w14:textId="77777777" w:rsidR="00B10C68" w:rsidRDefault="00000000">
            <w:pPr>
              <w:ind w:right="6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w:t>
            </w:r>
            <w:r>
              <w:rPr>
                <w:rFonts w:ascii="Times New Roman" w:eastAsia="Times New Roman" w:hAnsi="Times New Roman" w:cs="Times New Roman"/>
                <w:b/>
                <w:color w:val="000000"/>
                <w:vertAlign w:val="subscript"/>
              </w:rPr>
              <w:t>count</w:t>
            </w:r>
          </w:p>
        </w:tc>
        <w:tc>
          <w:tcPr>
            <w:tcW w:w="696" w:type="dxa"/>
            <w:tcBorders>
              <w:top w:val="nil"/>
              <w:bottom w:val="single" w:sz="4" w:space="0" w:color="auto"/>
            </w:tcBorders>
          </w:tcPr>
          <w:p w14:paraId="181E29CF" w14:textId="77777777" w:rsidR="00B10C68" w:rsidRDefault="00000000">
            <w:pPr>
              <w:ind w:right="6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Sig.</w:t>
            </w:r>
          </w:p>
        </w:tc>
      </w:tr>
      <w:tr w:rsidR="00B10C68" w14:paraId="793B6D24" w14:textId="77777777">
        <w:tc>
          <w:tcPr>
            <w:tcW w:w="811" w:type="dxa"/>
            <w:tcBorders>
              <w:top w:val="single" w:sz="4" w:space="0" w:color="auto"/>
            </w:tcBorders>
          </w:tcPr>
          <w:p w14:paraId="467357AB"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w:t>
            </w:r>
          </w:p>
        </w:tc>
        <w:tc>
          <w:tcPr>
            <w:tcW w:w="792" w:type="dxa"/>
            <w:tcBorders>
              <w:top w:val="single" w:sz="4" w:space="0" w:color="auto"/>
            </w:tcBorders>
          </w:tcPr>
          <w:p w14:paraId="51F71E40"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0,433</w:t>
            </w:r>
          </w:p>
        </w:tc>
        <w:tc>
          <w:tcPr>
            <w:tcW w:w="780" w:type="dxa"/>
            <w:vMerge w:val="restart"/>
            <w:tcBorders>
              <w:top w:val="single" w:sz="4" w:space="0" w:color="auto"/>
            </w:tcBorders>
          </w:tcPr>
          <w:p w14:paraId="10506301"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0,312</w:t>
            </w:r>
          </w:p>
        </w:tc>
        <w:tc>
          <w:tcPr>
            <w:tcW w:w="824" w:type="dxa"/>
            <w:tcBorders>
              <w:top w:val="single" w:sz="4" w:space="0" w:color="auto"/>
            </w:tcBorders>
          </w:tcPr>
          <w:p w14:paraId="76F2EA76"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w:t>
            </w:r>
          </w:p>
        </w:tc>
        <w:tc>
          <w:tcPr>
            <w:tcW w:w="780" w:type="dxa"/>
            <w:tcBorders>
              <w:top w:val="single" w:sz="4" w:space="0" w:color="auto"/>
            </w:tcBorders>
          </w:tcPr>
          <w:p w14:paraId="6019AD8C"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0,523</w:t>
            </w:r>
          </w:p>
        </w:tc>
        <w:tc>
          <w:tcPr>
            <w:tcW w:w="696" w:type="dxa"/>
            <w:vMerge w:val="restart"/>
            <w:tcBorders>
              <w:top w:val="single" w:sz="4" w:space="0" w:color="auto"/>
            </w:tcBorders>
          </w:tcPr>
          <w:p w14:paraId="5423B74A"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0,423</w:t>
            </w:r>
          </w:p>
        </w:tc>
      </w:tr>
      <w:tr w:rsidR="00B10C68" w14:paraId="00BF0A66" w14:textId="77777777">
        <w:tc>
          <w:tcPr>
            <w:tcW w:w="811" w:type="dxa"/>
          </w:tcPr>
          <w:p w14:paraId="77D7076B"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w:t>
            </w:r>
          </w:p>
        </w:tc>
        <w:tc>
          <w:tcPr>
            <w:tcW w:w="792" w:type="dxa"/>
          </w:tcPr>
          <w:p w14:paraId="0F449221"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0,456</w:t>
            </w:r>
          </w:p>
        </w:tc>
        <w:tc>
          <w:tcPr>
            <w:tcW w:w="780" w:type="dxa"/>
            <w:vMerge/>
          </w:tcPr>
          <w:p w14:paraId="54A6B203" w14:textId="77777777" w:rsidR="00B10C68" w:rsidRDefault="00B10C68">
            <w:pPr>
              <w:ind w:right="69"/>
              <w:jc w:val="center"/>
              <w:rPr>
                <w:rFonts w:ascii="Times New Roman" w:eastAsia="Times New Roman" w:hAnsi="Times New Roman" w:cs="Times New Roman"/>
                <w:bCs/>
                <w:color w:val="000000"/>
              </w:rPr>
            </w:pPr>
          </w:p>
        </w:tc>
        <w:tc>
          <w:tcPr>
            <w:tcW w:w="824" w:type="dxa"/>
          </w:tcPr>
          <w:p w14:paraId="1A07F582"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w:t>
            </w:r>
          </w:p>
        </w:tc>
        <w:tc>
          <w:tcPr>
            <w:tcW w:w="780" w:type="dxa"/>
          </w:tcPr>
          <w:p w14:paraId="3E623C97"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0,498</w:t>
            </w:r>
          </w:p>
        </w:tc>
        <w:tc>
          <w:tcPr>
            <w:tcW w:w="696" w:type="dxa"/>
            <w:vMerge/>
          </w:tcPr>
          <w:p w14:paraId="59BB47D1" w14:textId="77777777" w:rsidR="00B10C68" w:rsidRDefault="00B10C68">
            <w:pPr>
              <w:ind w:right="69"/>
              <w:jc w:val="center"/>
              <w:rPr>
                <w:rFonts w:ascii="Times New Roman" w:eastAsia="Times New Roman" w:hAnsi="Times New Roman" w:cs="Times New Roman"/>
                <w:bCs/>
                <w:color w:val="000000"/>
              </w:rPr>
            </w:pPr>
          </w:p>
        </w:tc>
      </w:tr>
      <w:tr w:rsidR="00B10C68" w14:paraId="427C4C72" w14:textId="77777777">
        <w:tc>
          <w:tcPr>
            <w:tcW w:w="811" w:type="dxa"/>
          </w:tcPr>
          <w:p w14:paraId="3BFEACFE"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3</w:t>
            </w:r>
          </w:p>
        </w:tc>
        <w:tc>
          <w:tcPr>
            <w:tcW w:w="792" w:type="dxa"/>
          </w:tcPr>
          <w:p w14:paraId="343F601F"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0,543</w:t>
            </w:r>
          </w:p>
        </w:tc>
        <w:tc>
          <w:tcPr>
            <w:tcW w:w="780" w:type="dxa"/>
            <w:vMerge/>
          </w:tcPr>
          <w:p w14:paraId="7E574E03" w14:textId="77777777" w:rsidR="00B10C68" w:rsidRDefault="00B10C68">
            <w:pPr>
              <w:ind w:right="69"/>
              <w:jc w:val="center"/>
              <w:rPr>
                <w:rFonts w:ascii="Times New Roman" w:eastAsia="Times New Roman" w:hAnsi="Times New Roman" w:cs="Times New Roman"/>
                <w:bCs/>
                <w:color w:val="000000"/>
              </w:rPr>
            </w:pPr>
          </w:p>
        </w:tc>
        <w:tc>
          <w:tcPr>
            <w:tcW w:w="824" w:type="dxa"/>
          </w:tcPr>
          <w:p w14:paraId="7658D79A"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3</w:t>
            </w:r>
          </w:p>
        </w:tc>
        <w:tc>
          <w:tcPr>
            <w:tcW w:w="780" w:type="dxa"/>
          </w:tcPr>
          <w:p w14:paraId="49541B5E"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0,642</w:t>
            </w:r>
          </w:p>
        </w:tc>
        <w:tc>
          <w:tcPr>
            <w:tcW w:w="696" w:type="dxa"/>
            <w:vMerge/>
          </w:tcPr>
          <w:p w14:paraId="3AAAB8B2" w14:textId="77777777" w:rsidR="00B10C68" w:rsidRDefault="00B10C68">
            <w:pPr>
              <w:ind w:right="69"/>
              <w:jc w:val="center"/>
              <w:rPr>
                <w:rFonts w:ascii="Times New Roman" w:eastAsia="Times New Roman" w:hAnsi="Times New Roman" w:cs="Times New Roman"/>
                <w:bCs/>
                <w:color w:val="000000"/>
              </w:rPr>
            </w:pPr>
          </w:p>
        </w:tc>
      </w:tr>
      <w:tr w:rsidR="00B10C68" w14:paraId="6F0BF284" w14:textId="77777777">
        <w:tc>
          <w:tcPr>
            <w:tcW w:w="811" w:type="dxa"/>
          </w:tcPr>
          <w:p w14:paraId="358D8BB4"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4</w:t>
            </w:r>
          </w:p>
        </w:tc>
        <w:tc>
          <w:tcPr>
            <w:tcW w:w="792" w:type="dxa"/>
          </w:tcPr>
          <w:p w14:paraId="12354D83"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0,395</w:t>
            </w:r>
          </w:p>
        </w:tc>
        <w:tc>
          <w:tcPr>
            <w:tcW w:w="780" w:type="dxa"/>
            <w:vMerge/>
          </w:tcPr>
          <w:p w14:paraId="21EB5B41" w14:textId="77777777" w:rsidR="00B10C68" w:rsidRDefault="00B10C68">
            <w:pPr>
              <w:ind w:right="69"/>
              <w:jc w:val="center"/>
              <w:rPr>
                <w:rFonts w:ascii="Times New Roman" w:eastAsia="Times New Roman" w:hAnsi="Times New Roman" w:cs="Times New Roman"/>
                <w:bCs/>
                <w:color w:val="000000"/>
              </w:rPr>
            </w:pPr>
          </w:p>
        </w:tc>
        <w:tc>
          <w:tcPr>
            <w:tcW w:w="824" w:type="dxa"/>
          </w:tcPr>
          <w:p w14:paraId="5D189D16"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4</w:t>
            </w:r>
          </w:p>
        </w:tc>
        <w:tc>
          <w:tcPr>
            <w:tcW w:w="780" w:type="dxa"/>
          </w:tcPr>
          <w:p w14:paraId="144F31FB"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0,543</w:t>
            </w:r>
          </w:p>
        </w:tc>
        <w:tc>
          <w:tcPr>
            <w:tcW w:w="696" w:type="dxa"/>
            <w:vMerge/>
          </w:tcPr>
          <w:p w14:paraId="3D3D2D9F" w14:textId="77777777" w:rsidR="00B10C68" w:rsidRDefault="00B10C68">
            <w:pPr>
              <w:ind w:right="69"/>
              <w:jc w:val="center"/>
              <w:rPr>
                <w:rFonts w:ascii="Times New Roman" w:eastAsia="Times New Roman" w:hAnsi="Times New Roman" w:cs="Times New Roman"/>
                <w:bCs/>
                <w:color w:val="000000"/>
              </w:rPr>
            </w:pPr>
          </w:p>
        </w:tc>
      </w:tr>
      <w:tr w:rsidR="00B10C68" w14:paraId="1F59BC76" w14:textId="77777777">
        <w:tc>
          <w:tcPr>
            <w:tcW w:w="811" w:type="dxa"/>
            <w:vMerge w:val="restart"/>
          </w:tcPr>
          <w:p w14:paraId="3863B647"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w:t>
            </w:r>
          </w:p>
        </w:tc>
        <w:tc>
          <w:tcPr>
            <w:tcW w:w="792" w:type="dxa"/>
            <w:vMerge w:val="restart"/>
          </w:tcPr>
          <w:p w14:paraId="6454933D"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0,443</w:t>
            </w:r>
          </w:p>
        </w:tc>
        <w:tc>
          <w:tcPr>
            <w:tcW w:w="780" w:type="dxa"/>
            <w:vMerge/>
          </w:tcPr>
          <w:p w14:paraId="1BA17603" w14:textId="77777777" w:rsidR="00B10C68" w:rsidRDefault="00B10C68">
            <w:pPr>
              <w:ind w:right="69"/>
              <w:jc w:val="center"/>
              <w:rPr>
                <w:rFonts w:ascii="Times New Roman" w:eastAsia="Times New Roman" w:hAnsi="Times New Roman" w:cs="Times New Roman"/>
                <w:bCs/>
                <w:color w:val="000000"/>
              </w:rPr>
            </w:pPr>
          </w:p>
        </w:tc>
        <w:tc>
          <w:tcPr>
            <w:tcW w:w="824" w:type="dxa"/>
          </w:tcPr>
          <w:p w14:paraId="1C390551"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w:t>
            </w:r>
          </w:p>
        </w:tc>
        <w:tc>
          <w:tcPr>
            <w:tcW w:w="780" w:type="dxa"/>
          </w:tcPr>
          <w:p w14:paraId="528DBF0E"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0,502</w:t>
            </w:r>
          </w:p>
        </w:tc>
        <w:tc>
          <w:tcPr>
            <w:tcW w:w="696" w:type="dxa"/>
            <w:vMerge/>
          </w:tcPr>
          <w:p w14:paraId="22E752A1" w14:textId="77777777" w:rsidR="00B10C68" w:rsidRDefault="00B10C68">
            <w:pPr>
              <w:ind w:right="69"/>
              <w:jc w:val="center"/>
              <w:rPr>
                <w:rFonts w:ascii="Times New Roman" w:eastAsia="Times New Roman" w:hAnsi="Times New Roman" w:cs="Times New Roman"/>
                <w:bCs/>
                <w:color w:val="000000"/>
              </w:rPr>
            </w:pPr>
          </w:p>
        </w:tc>
      </w:tr>
      <w:tr w:rsidR="00B10C68" w14:paraId="51021B27" w14:textId="77777777">
        <w:tc>
          <w:tcPr>
            <w:tcW w:w="811" w:type="dxa"/>
            <w:vMerge/>
          </w:tcPr>
          <w:p w14:paraId="509FC9C4" w14:textId="77777777" w:rsidR="00B10C68" w:rsidRDefault="00B10C68">
            <w:pPr>
              <w:ind w:right="69"/>
              <w:jc w:val="center"/>
              <w:rPr>
                <w:rFonts w:ascii="Times New Roman" w:eastAsia="Times New Roman" w:hAnsi="Times New Roman" w:cs="Times New Roman"/>
                <w:bCs/>
                <w:color w:val="000000"/>
              </w:rPr>
            </w:pPr>
          </w:p>
        </w:tc>
        <w:tc>
          <w:tcPr>
            <w:tcW w:w="792" w:type="dxa"/>
            <w:vMerge/>
          </w:tcPr>
          <w:p w14:paraId="1D0C484F" w14:textId="77777777" w:rsidR="00B10C68" w:rsidRDefault="00B10C68">
            <w:pPr>
              <w:ind w:right="69"/>
              <w:jc w:val="center"/>
              <w:rPr>
                <w:rFonts w:ascii="Times New Roman" w:eastAsia="Times New Roman" w:hAnsi="Times New Roman" w:cs="Times New Roman"/>
                <w:bCs/>
                <w:color w:val="000000"/>
              </w:rPr>
            </w:pPr>
          </w:p>
        </w:tc>
        <w:tc>
          <w:tcPr>
            <w:tcW w:w="780" w:type="dxa"/>
            <w:vMerge/>
          </w:tcPr>
          <w:p w14:paraId="7B3ECBF2" w14:textId="77777777" w:rsidR="00B10C68" w:rsidRDefault="00B10C68">
            <w:pPr>
              <w:ind w:right="69"/>
              <w:jc w:val="center"/>
              <w:rPr>
                <w:rFonts w:ascii="Times New Roman" w:eastAsia="Times New Roman" w:hAnsi="Times New Roman" w:cs="Times New Roman"/>
                <w:bCs/>
                <w:color w:val="000000"/>
              </w:rPr>
            </w:pPr>
          </w:p>
        </w:tc>
        <w:tc>
          <w:tcPr>
            <w:tcW w:w="824" w:type="dxa"/>
          </w:tcPr>
          <w:p w14:paraId="33230D88"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w:t>
            </w:r>
          </w:p>
        </w:tc>
        <w:tc>
          <w:tcPr>
            <w:tcW w:w="780" w:type="dxa"/>
          </w:tcPr>
          <w:p w14:paraId="62CAF5BE"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0,621</w:t>
            </w:r>
          </w:p>
        </w:tc>
        <w:tc>
          <w:tcPr>
            <w:tcW w:w="696" w:type="dxa"/>
            <w:vMerge/>
          </w:tcPr>
          <w:p w14:paraId="1F4263F9" w14:textId="77777777" w:rsidR="00B10C68" w:rsidRDefault="00B10C68">
            <w:pPr>
              <w:ind w:right="69"/>
              <w:jc w:val="center"/>
              <w:rPr>
                <w:rFonts w:ascii="Times New Roman" w:eastAsia="Times New Roman" w:hAnsi="Times New Roman" w:cs="Times New Roman"/>
                <w:bCs/>
                <w:color w:val="000000"/>
              </w:rPr>
            </w:pPr>
          </w:p>
        </w:tc>
      </w:tr>
      <w:tr w:rsidR="00B10C68" w14:paraId="6E5DF8F1" w14:textId="77777777">
        <w:tc>
          <w:tcPr>
            <w:tcW w:w="811" w:type="dxa"/>
            <w:vMerge/>
          </w:tcPr>
          <w:p w14:paraId="58D87CE2" w14:textId="77777777" w:rsidR="00B10C68" w:rsidRDefault="00B10C68">
            <w:pPr>
              <w:ind w:right="69"/>
              <w:jc w:val="center"/>
              <w:rPr>
                <w:rFonts w:ascii="Times New Roman" w:eastAsia="Times New Roman" w:hAnsi="Times New Roman" w:cs="Times New Roman"/>
                <w:bCs/>
                <w:color w:val="000000"/>
              </w:rPr>
            </w:pPr>
          </w:p>
        </w:tc>
        <w:tc>
          <w:tcPr>
            <w:tcW w:w="792" w:type="dxa"/>
            <w:vMerge/>
          </w:tcPr>
          <w:p w14:paraId="043BE284" w14:textId="77777777" w:rsidR="00B10C68" w:rsidRDefault="00B10C68">
            <w:pPr>
              <w:ind w:right="69"/>
              <w:jc w:val="center"/>
              <w:rPr>
                <w:rFonts w:ascii="Times New Roman" w:eastAsia="Times New Roman" w:hAnsi="Times New Roman" w:cs="Times New Roman"/>
                <w:bCs/>
                <w:color w:val="000000"/>
              </w:rPr>
            </w:pPr>
          </w:p>
        </w:tc>
        <w:tc>
          <w:tcPr>
            <w:tcW w:w="780" w:type="dxa"/>
            <w:vMerge/>
          </w:tcPr>
          <w:p w14:paraId="086D9176" w14:textId="77777777" w:rsidR="00B10C68" w:rsidRDefault="00B10C68">
            <w:pPr>
              <w:ind w:right="69"/>
              <w:jc w:val="center"/>
              <w:rPr>
                <w:rFonts w:ascii="Times New Roman" w:eastAsia="Times New Roman" w:hAnsi="Times New Roman" w:cs="Times New Roman"/>
                <w:bCs/>
                <w:color w:val="000000"/>
              </w:rPr>
            </w:pPr>
          </w:p>
        </w:tc>
        <w:tc>
          <w:tcPr>
            <w:tcW w:w="824" w:type="dxa"/>
          </w:tcPr>
          <w:p w14:paraId="6E72157C"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7</w:t>
            </w:r>
          </w:p>
        </w:tc>
        <w:tc>
          <w:tcPr>
            <w:tcW w:w="780" w:type="dxa"/>
          </w:tcPr>
          <w:p w14:paraId="29AF2A0A"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0,588</w:t>
            </w:r>
          </w:p>
        </w:tc>
        <w:tc>
          <w:tcPr>
            <w:tcW w:w="696" w:type="dxa"/>
            <w:vMerge/>
          </w:tcPr>
          <w:p w14:paraId="3FEC7C01" w14:textId="77777777" w:rsidR="00B10C68" w:rsidRDefault="00B10C68">
            <w:pPr>
              <w:ind w:right="69"/>
              <w:jc w:val="center"/>
              <w:rPr>
                <w:rFonts w:ascii="Times New Roman" w:eastAsia="Times New Roman" w:hAnsi="Times New Roman" w:cs="Times New Roman"/>
                <w:bCs/>
                <w:color w:val="000000"/>
              </w:rPr>
            </w:pPr>
          </w:p>
        </w:tc>
      </w:tr>
      <w:tr w:rsidR="00B10C68" w14:paraId="4914E36A" w14:textId="77777777">
        <w:tc>
          <w:tcPr>
            <w:tcW w:w="811" w:type="dxa"/>
            <w:vMerge/>
          </w:tcPr>
          <w:p w14:paraId="262439CD" w14:textId="77777777" w:rsidR="00B10C68" w:rsidRDefault="00B10C68">
            <w:pPr>
              <w:ind w:right="69"/>
              <w:jc w:val="center"/>
              <w:rPr>
                <w:rFonts w:ascii="Times New Roman" w:eastAsia="Times New Roman" w:hAnsi="Times New Roman" w:cs="Times New Roman"/>
                <w:bCs/>
                <w:color w:val="000000"/>
              </w:rPr>
            </w:pPr>
          </w:p>
        </w:tc>
        <w:tc>
          <w:tcPr>
            <w:tcW w:w="792" w:type="dxa"/>
            <w:vMerge/>
          </w:tcPr>
          <w:p w14:paraId="56CA37E0" w14:textId="77777777" w:rsidR="00B10C68" w:rsidRDefault="00B10C68">
            <w:pPr>
              <w:ind w:right="69"/>
              <w:jc w:val="center"/>
              <w:rPr>
                <w:rFonts w:ascii="Times New Roman" w:eastAsia="Times New Roman" w:hAnsi="Times New Roman" w:cs="Times New Roman"/>
                <w:bCs/>
                <w:color w:val="000000"/>
              </w:rPr>
            </w:pPr>
          </w:p>
        </w:tc>
        <w:tc>
          <w:tcPr>
            <w:tcW w:w="780" w:type="dxa"/>
            <w:vMerge/>
          </w:tcPr>
          <w:p w14:paraId="26CE7461" w14:textId="77777777" w:rsidR="00B10C68" w:rsidRDefault="00B10C68">
            <w:pPr>
              <w:ind w:right="69"/>
              <w:jc w:val="center"/>
              <w:rPr>
                <w:rFonts w:ascii="Times New Roman" w:eastAsia="Times New Roman" w:hAnsi="Times New Roman" w:cs="Times New Roman"/>
                <w:bCs/>
                <w:color w:val="000000"/>
              </w:rPr>
            </w:pPr>
          </w:p>
        </w:tc>
        <w:tc>
          <w:tcPr>
            <w:tcW w:w="824" w:type="dxa"/>
          </w:tcPr>
          <w:p w14:paraId="59536535"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8</w:t>
            </w:r>
          </w:p>
        </w:tc>
        <w:tc>
          <w:tcPr>
            <w:tcW w:w="780" w:type="dxa"/>
          </w:tcPr>
          <w:p w14:paraId="6F5E9664"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0,654</w:t>
            </w:r>
          </w:p>
        </w:tc>
        <w:tc>
          <w:tcPr>
            <w:tcW w:w="696" w:type="dxa"/>
            <w:vMerge/>
          </w:tcPr>
          <w:p w14:paraId="1ABC6900" w14:textId="77777777" w:rsidR="00B10C68" w:rsidRDefault="00B10C68">
            <w:pPr>
              <w:ind w:right="69"/>
              <w:jc w:val="center"/>
              <w:rPr>
                <w:rFonts w:ascii="Times New Roman" w:eastAsia="Times New Roman" w:hAnsi="Times New Roman" w:cs="Times New Roman"/>
                <w:bCs/>
                <w:color w:val="000000"/>
              </w:rPr>
            </w:pPr>
          </w:p>
        </w:tc>
      </w:tr>
      <w:tr w:rsidR="00B10C68" w14:paraId="5D64342F" w14:textId="77777777">
        <w:tc>
          <w:tcPr>
            <w:tcW w:w="811" w:type="dxa"/>
            <w:vMerge/>
          </w:tcPr>
          <w:p w14:paraId="41653F1C" w14:textId="77777777" w:rsidR="00B10C68" w:rsidRDefault="00B10C68">
            <w:pPr>
              <w:ind w:right="69"/>
              <w:jc w:val="center"/>
              <w:rPr>
                <w:rFonts w:ascii="Times New Roman" w:eastAsia="Times New Roman" w:hAnsi="Times New Roman" w:cs="Times New Roman"/>
                <w:bCs/>
                <w:color w:val="000000"/>
              </w:rPr>
            </w:pPr>
          </w:p>
        </w:tc>
        <w:tc>
          <w:tcPr>
            <w:tcW w:w="792" w:type="dxa"/>
            <w:vMerge/>
          </w:tcPr>
          <w:p w14:paraId="6432FAB3" w14:textId="77777777" w:rsidR="00B10C68" w:rsidRDefault="00B10C68">
            <w:pPr>
              <w:ind w:right="69"/>
              <w:jc w:val="center"/>
              <w:rPr>
                <w:rFonts w:ascii="Times New Roman" w:eastAsia="Times New Roman" w:hAnsi="Times New Roman" w:cs="Times New Roman"/>
                <w:bCs/>
                <w:color w:val="000000"/>
              </w:rPr>
            </w:pPr>
          </w:p>
        </w:tc>
        <w:tc>
          <w:tcPr>
            <w:tcW w:w="780" w:type="dxa"/>
            <w:vMerge/>
          </w:tcPr>
          <w:p w14:paraId="12C88397" w14:textId="77777777" w:rsidR="00B10C68" w:rsidRDefault="00B10C68">
            <w:pPr>
              <w:ind w:right="69"/>
              <w:jc w:val="center"/>
              <w:rPr>
                <w:rFonts w:ascii="Times New Roman" w:eastAsia="Times New Roman" w:hAnsi="Times New Roman" w:cs="Times New Roman"/>
                <w:bCs/>
                <w:color w:val="000000"/>
              </w:rPr>
            </w:pPr>
          </w:p>
        </w:tc>
        <w:tc>
          <w:tcPr>
            <w:tcW w:w="824" w:type="dxa"/>
          </w:tcPr>
          <w:p w14:paraId="316CF42D"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9</w:t>
            </w:r>
          </w:p>
        </w:tc>
        <w:tc>
          <w:tcPr>
            <w:tcW w:w="780" w:type="dxa"/>
          </w:tcPr>
          <w:p w14:paraId="3BE01E4A"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0,559</w:t>
            </w:r>
          </w:p>
        </w:tc>
        <w:tc>
          <w:tcPr>
            <w:tcW w:w="696" w:type="dxa"/>
            <w:vMerge/>
          </w:tcPr>
          <w:p w14:paraId="1FF6E2B6" w14:textId="77777777" w:rsidR="00B10C68" w:rsidRDefault="00B10C68">
            <w:pPr>
              <w:ind w:right="69"/>
              <w:jc w:val="center"/>
              <w:rPr>
                <w:rFonts w:ascii="Times New Roman" w:eastAsia="Times New Roman" w:hAnsi="Times New Roman" w:cs="Times New Roman"/>
                <w:bCs/>
                <w:color w:val="000000"/>
              </w:rPr>
            </w:pPr>
          </w:p>
        </w:tc>
      </w:tr>
      <w:tr w:rsidR="00B10C68" w14:paraId="14D4866D" w14:textId="77777777">
        <w:tc>
          <w:tcPr>
            <w:tcW w:w="811" w:type="dxa"/>
            <w:vMerge/>
          </w:tcPr>
          <w:p w14:paraId="6832E7A2" w14:textId="77777777" w:rsidR="00B10C68" w:rsidRDefault="00B10C68">
            <w:pPr>
              <w:ind w:right="69"/>
              <w:jc w:val="center"/>
              <w:rPr>
                <w:rFonts w:ascii="Times New Roman" w:eastAsia="Times New Roman" w:hAnsi="Times New Roman" w:cs="Times New Roman"/>
                <w:bCs/>
                <w:color w:val="000000"/>
              </w:rPr>
            </w:pPr>
          </w:p>
        </w:tc>
        <w:tc>
          <w:tcPr>
            <w:tcW w:w="792" w:type="dxa"/>
            <w:vMerge/>
          </w:tcPr>
          <w:p w14:paraId="03ED15A9" w14:textId="77777777" w:rsidR="00B10C68" w:rsidRDefault="00B10C68">
            <w:pPr>
              <w:ind w:right="69"/>
              <w:jc w:val="center"/>
              <w:rPr>
                <w:rFonts w:ascii="Times New Roman" w:eastAsia="Times New Roman" w:hAnsi="Times New Roman" w:cs="Times New Roman"/>
                <w:bCs/>
                <w:color w:val="000000"/>
              </w:rPr>
            </w:pPr>
          </w:p>
        </w:tc>
        <w:tc>
          <w:tcPr>
            <w:tcW w:w="780" w:type="dxa"/>
            <w:vMerge/>
          </w:tcPr>
          <w:p w14:paraId="3964A5C6" w14:textId="77777777" w:rsidR="00B10C68" w:rsidRDefault="00B10C68">
            <w:pPr>
              <w:ind w:right="69"/>
              <w:jc w:val="center"/>
              <w:rPr>
                <w:rFonts w:ascii="Times New Roman" w:eastAsia="Times New Roman" w:hAnsi="Times New Roman" w:cs="Times New Roman"/>
                <w:bCs/>
                <w:color w:val="000000"/>
              </w:rPr>
            </w:pPr>
          </w:p>
        </w:tc>
        <w:tc>
          <w:tcPr>
            <w:tcW w:w="824" w:type="dxa"/>
          </w:tcPr>
          <w:p w14:paraId="65386B4E"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10</w:t>
            </w:r>
          </w:p>
        </w:tc>
        <w:tc>
          <w:tcPr>
            <w:tcW w:w="780" w:type="dxa"/>
          </w:tcPr>
          <w:p w14:paraId="40796907" w14:textId="77777777" w:rsidR="00B10C68" w:rsidRDefault="00000000">
            <w:pPr>
              <w:ind w:right="69"/>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0,546</w:t>
            </w:r>
          </w:p>
        </w:tc>
        <w:tc>
          <w:tcPr>
            <w:tcW w:w="696" w:type="dxa"/>
            <w:vMerge/>
          </w:tcPr>
          <w:p w14:paraId="0CBEF548" w14:textId="77777777" w:rsidR="00B10C68" w:rsidRDefault="00B10C68">
            <w:pPr>
              <w:ind w:right="69"/>
              <w:jc w:val="center"/>
              <w:rPr>
                <w:rFonts w:ascii="Times New Roman" w:eastAsia="Times New Roman" w:hAnsi="Times New Roman" w:cs="Times New Roman"/>
                <w:bCs/>
                <w:color w:val="000000"/>
              </w:rPr>
            </w:pPr>
          </w:p>
        </w:tc>
      </w:tr>
    </w:tbl>
    <w:p w14:paraId="3835D113" w14:textId="77777777" w:rsidR="00B10C68" w:rsidRDefault="00B10C68">
      <w:pPr>
        <w:spacing w:after="0" w:line="240" w:lineRule="auto"/>
        <w:ind w:right="69"/>
        <w:rPr>
          <w:rFonts w:ascii="Times New Roman" w:eastAsia="Times New Roman" w:hAnsi="Times New Roman" w:cs="Times New Roman"/>
          <w:b/>
          <w:color w:val="000000"/>
          <w:sz w:val="20"/>
          <w:szCs w:val="20"/>
        </w:rPr>
      </w:pPr>
    </w:p>
    <w:p w14:paraId="03A298B4" w14:textId="77777777" w:rsidR="00B10C68" w:rsidRDefault="00000000">
      <w:pPr>
        <w:spacing w:after="0" w:line="240" w:lineRule="auto"/>
        <w:ind w:right="69"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Based on Table 1, it can be seen that all items in both the questionnaire and the test are declared valid, as the r</w:t>
      </w:r>
      <w:r>
        <w:rPr>
          <w:rFonts w:ascii="Times New Roman" w:eastAsia="Times New Roman" w:hAnsi="Times New Roman" w:cs="Times New Roman"/>
          <w:color w:val="000000"/>
          <w:sz w:val="24"/>
          <w:szCs w:val="24"/>
          <w:vertAlign w:val="subscript"/>
        </w:rPr>
        <w:t>count</w:t>
      </w:r>
      <w:r>
        <w:rPr>
          <w:rFonts w:ascii="Times New Roman" w:eastAsia="Times New Roman" w:hAnsi="Times New Roman" w:cs="Times New Roman"/>
          <w:color w:val="000000"/>
          <w:sz w:val="24"/>
          <w:szCs w:val="24"/>
        </w:rPr>
        <w:t xml:space="preserve"> values for all items exceed the r</w:t>
      </w:r>
      <w:r>
        <w:rPr>
          <w:rFonts w:ascii="Times New Roman" w:eastAsia="Times New Roman" w:hAnsi="Times New Roman" w:cs="Times New Roman"/>
          <w:color w:val="000000"/>
          <w:sz w:val="24"/>
          <w:szCs w:val="24"/>
          <w:vertAlign w:val="subscript"/>
        </w:rPr>
        <w:t>table</w:t>
      </w:r>
      <w:r>
        <w:rPr>
          <w:rFonts w:ascii="Times New Roman" w:eastAsia="Times New Roman" w:hAnsi="Times New Roman" w:cs="Times New Roman"/>
          <w:color w:val="000000"/>
          <w:sz w:val="24"/>
          <w:szCs w:val="24"/>
        </w:rPr>
        <w:t xml:space="preserve"> value (0.361). Furthermore, the reliability test results show that the significance value for the questionnaire instrument is 0.423 &gt; 0.05, and for the test instrument is 0.312 &gt; 0.05. Therefore, both instruments are considered valid and reliable, and thus suitable for use in this study. Before the learning implementation, students first completed a pretest, then participated in classroom instruction using the 3CM model, followed by completing the provided questionnaire, and finally taking the posttest. After the data were collected, a normality test was conducted, with the results presented in table 2</w:t>
      </w:r>
      <w:r>
        <w:rPr>
          <w:rFonts w:ascii="Times New Roman" w:eastAsia="Times New Roman" w:hAnsi="Times New Roman" w:cs="Times New Roman"/>
          <w:color w:val="000000"/>
        </w:rPr>
        <w:t>.</w:t>
      </w:r>
    </w:p>
    <w:p w14:paraId="0FC8D9DB" w14:textId="77777777" w:rsidR="00B10C68" w:rsidRDefault="00000000">
      <w:pPr>
        <w:autoSpaceDE w:val="0"/>
        <w:autoSpaceDN w:val="0"/>
        <w:adjustRightInd w:val="0"/>
        <w:spacing w:before="240" w:after="0" w:line="240" w:lineRule="auto"/>
        <w:jc w:val="center"/>
        <w:rPr>
          <w:rFonts w:ascii="Times New Roman" w:hAnsi="Times New Roman" w:cs="Times New Roman"/>
          <w:b/>
          <w:bCs/>
          <w:sz w:val="24"/>
          <w:szCs w:val="24"/>
        </w:rPr>
      </w:pPr>
      <w:r>
        <w:rPr>
          <w:rFonts w:ascii="Times New Roman" w:hAnsi="Times New Roman" w:cs="Times New Roman"/>
          <w:b/>
          <w:bCs/>
        </w:rPr>
        <w:t>Table 2. Normalitas Test Result</w:t>
      </w:r>
    </w:p>
    <w:tbl>
      <w:tblPr>
        <w:tblW w:w="53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27"/>
        <w:gridCol w:w="1437"/>
        <w:gridCol w:w="8"/>
        <w:gridCol w:w="1772"/>
        <w:gridCol w:w="8"/>
      </w:tblGrid>
      <w:tr w:rsidR="00B10C68" w14:paraId="3E0F1621" w14:textId="77777777">
        <w:trPr>
          <w:gridAfter w:val="1"/>
          <w:wAfter w:w="8" w:type="dxa"/>
          <w:cantSplit/>
          <w:jc w:val="center"/>
        </w:trPr>
        <w:tc>
          <w:tcPr>
            <w:tcW w:w="3564" w:type="dxa"/>
            <w:gridSpan w:val="2"/>
            <w:tcBorders>
              <w:top w:val="single" w:sz="8" w:space="0" w:color="152935"/>
              <w:left w:val="nil"/>
              <w:bottom w:val="single" w:sz="8" w:space="0" w:color="152935"/>
              <w:right w:val="nil"/>
            </w:tcBorders>
            <w:vAlign w:val="bottom"/>
          </w:tcPr>
          <w:p w14:paraId="275A5D55" w14:textId="77777777" w:rsidR="00B10C68" w:rsidRDefault="00B10C68">
            <w:pPr>
              <w:autoSpaceDE w:val="0"/>
              <w:autoSpaceDN w:val="0"/>
              <w:adjustRightInd w:val="0"/>
              <w:spacing w:after="0" w:line="240" w:lineRule="auto"/>
              <w:rPr>
                <w:rFonts w:ascii="Times New Roman" w:hAnsi="Times New Roman" w:cs="Times New Roman"/>
                <w:b/>
                <w:bCs/>
              </w:rPr>
            </w:pPr>
          </w:p>
        </w:tc>
        <w:tc>
          <w:tcPr>
            <w:tcW w:w="1780" w:type="dxa"/>
            <w:gridSpan w:val="2"/>
            <w:tcBorders>
              <w:top w:val="single" w:sz="8" w:space="0" w:color="152935"/>
              <w:left w:val="nil"/>
              <w:bottom w:val="single" w:sz="8" w:space="0" w:color="152935"/>
              <w:right w:val="nil"/>
            </w:tcBorders>
            <w:vAlign w:val="bottom"/>
          </w:tcPr>
          <w:p w14:paraId="50BB5740" w14:textId="77777777" w:rsidR="00B10C68" w:rsidRDefault="00000000">
            <w:pPr>
              <w:autoSpaceDE w:val="0"/>
              <w:autoSpaceDN w:val="0"/>
              <w:adjustRightInd w:val="0"/>
              <w:spacing w:after="0" w:line="240" w:lineRule="auto"/>
              <w:ind w:left="60" w:right="60"/>
              <w:jc w:val="center"/>
              <w:rPr>
                <w:rFonts w:ascii="Times New Roman" w:hAnsi="Times New Roman" w:cs="Times New Roman"/>
                <w:b/>
                <w:bCs/>
              </w:rPr>
            </w:pPr>
            <w:r>
              <w:rPr>
                <w:rFonts w:ascii="Times New Roman" w:hAnsi="Times New Roman" w:cs="Times New Roman"/>
                <w:b/>
                <w:bCs/>
              </w:rPr>
              <w:t>Unstandardized Residual</w:t>
            </w:r>
          </w:p>
        </w:tc>
      </w:tr>
      <w:tr w:rsidR="00B10C68" w14:paraId="12D16B39" w14:textId="77777777">
        <w:trPr>
          <w:gridAfter w:val="1"/>
          <w:wAfter w:w="8" w:type="dxa"/>
          <w:cantSplit/>
          <w:jc w:val="center"/>
        </w:trPr>
        <w:tc>
          <w:tcPr>
            <w:tcW w:w="3564" w:type="dxa"/>
            <w:gridSpan w:val="2"/>
            <w:tcBorders>
              <w:top w:val="single" w:sz="8" w:space="0" w:color="152935"/>
              <w:left w:val="nil"/>
              <w:bottom w:val="nil"/>
              <w:right w:val="nil"/>
            </w:tcBorders>
          </w:tcPr>
          <w:p w14:paraId="63D0CEB2" w14:textId="77777777" w:rsidR="00B10C68" w:rsidRDefault="00000000">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N</w:t>
            </w:r>
          </w:p>
        </w:tc>
        <w:tc>
          <w:tcPr>
            <w:tcW w:w="1780" w:type="dxa"/>
            <w:gridSpan w:val="2"/>
            <w:tcBorders>
              <w:top w:val="single" w:sz="8" w:space="0" w:color="152935"/>
              <w:left w:val="nil"/>
              <w:bottom w:val="nil"/>
              <w:right w:val="nil"/>
            </w:tcBorders>
          </w:tcPr>
          <w:p w14:paraId="5C967348"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30</w:t>
            </w:r>
          </w:p>
        </w:tc>
      </w:tr>
      <w:tr w:rsidR="00B10C68" w14:paraId="1A9BC7FE" w14:textId="77777777">
        <w:trPr>
          <w:cantSplit/>
          <w:jc w:val="center"/>
        </w:trPr>
        <w:tc>
          <w:tcPr>
            <w:tcW w:w="2127" w:type="dxa"/>
            <w:vMerge w:val="restart"/>
            <w:tcBorders>
              <w:top w:val="nil"/>
              <w:left w:val="nil"/>
              <w:bottom w:val="nil"/>
              <w:right w:val="nil"/>
            </w:tcBorders>
          </w:tcPr>
          <w:p w14:paraId="070B29ED" w14:textId="77777777" w:rsidR="00B10C68" w:rsidRDefault="00000000">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 xml:space="preserve">Normal </w:t>
            </w:r>
            <w:proofErr w:type="gramStart"/>
            <w:r>
              <w:rPr>
                <w:rFonts w:ascii="Times New Roman" w:hAnsi="Times New Roman" w:cs="Times New Roman"/>
              </w:rPr>
              <w:t>Parameters</w:t>
            </w:r>
            <w:r>
              <w:rPr>
                <w:rFonts w:ascii="Times New Roman" w:hAnsi="Times New Roman" w:cs="Times New Roman"/>
                <w:vertAlign w:val="superscript"/>
              </w:rPr>
              <w:t>a,b</w:t>
            </w:r>
            <w:proofErr w:type="gramEnd"/>
          </w:p>
        </w:tc>
        <w:tc>
          <w:tcPr>
            <w:tcW w:w="1445" w:type="dxa"/>
            <w:gridSpan w:val="2"/>
            <w:tcBorders>
              <w:top w:val="nil"/>
              <w:left w:val="nil"/>
              <w:bottom w:val="nil"/>
              <w:right w:val="nil"/>
            </w:tcBorders>
          </w:tcPr>
          <w:p w14:paraId="52540FC3" w14:textId="77777777" w:rsidR="00B10C68" w:rsidRDefault="00000000">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Mean</w:t>
            </w:r>
          </w:p>
        </w:tc>
        <w:tc>
          <w:tcPr>
            <w:tcW w:w="1780" w:type="dxa"/>
            <w:gridSpan w:val="2"/>
            <w:tcBorders>
              <w:top w:val="nil"/>
              <w:left w:val="nil"/>
              <w:bottom w:val="nil"/>
              <w:right w:val="nil"/>
            </w:tcBorders>
          </w:tcPr>
          <w:p w14:paraId="7DED7B2F"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.0000000</w:t>
            </w:r>
          </w:p>
        </w:tc>
      </w:tr>
      <w:tr w:rsidR="00B10C68" w14:paraId="595C8898" w14:textId="77777777">
        <w:trPr>
          <w:cantSplit/>
          <w:jc w:val="center"/>
        </w:trPr>
        <w:tc>
          <w:tcPr>
            <w:tcW w:w="2127" w:type="dxa"/>
            <w:vMerge/>
            <w:tcBorders>
              <w:top w:val="nil"/>
              <w:left w:val="nil"/>
              <w:bottom w:val="nil"/>
              <w:right w:val="nil"/>
            </w:tcBorders>
          </w:tcPr>
          <w:p w14:paraId="65540FF2" w14:textId="77777777" w:rsidR="00B10C68" w:rsidRDefault="00B10C68">
            <w:pPr>
              <w:autoSpaceDE w:val="0"/>
              <w:autoSpaceDN w:val="0"/>
              <w:adjustRightInd w:val="0"/>
              <w:spacing w:after="0" w:line="240" w:lineRule="auto"/>
              <w:rPr>
                <w:rFonts w:ascii="Times New Roman" w:hAnsi="Times New Roman" w:cs="Times New Roman"/>
              </w:rPr>
            </w:pPr>
          </w:p>
        </w:tc>
        <w:tc>
          <w:tcPr>
            <w:tcW w:w="1445" w:type="dxa"/>
            <w:gridSpan w:val="2"/>
            <w:tcBorders>
              <w:top w:val="nil"/>
              <w:left w:val="nil"/>
              <w:bottom w:val="nil"/>
              <w:right w:val="nil"/>
            </w:tcBorders>
          </w:tcPr>
          <w:p w14:paraId="64F4AB5A" w14:textId="77777777" w:rsidR="00B10C68" w:rsidRDefault="00000000">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Std. Deviation</w:t>
            </w:r>
          </w:p>
        </w:tc>
        <w:tc>
          <w:tcPr>
            <w:tcW w:w="1780" w:type="dxa"/>
            <w:gridSpan w:val="2"/>
            <w:tcBorders>
              <w:top w:val="nil"/>
              <w:left w:val="nil"/>
              <w:bottom w:val="nil"/>
              <w:right w:val="nil"/>
            </w:tcBorders>
          </w:tcPr>
          <w:p w14:paraId="195E7FE1"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5.33015245</w:t>
            </w:r>
          </w:p>
        </w:tc>
      </w:tr>
      <w:tr w:rsidR="00B10C68" w14:paraId="6B5D71EC" w14:textId="77777777">
        <w:trPr>
          <w:cantSplit/>
          <w:jc w:val="center"/>
        </w:trPr>
        <w:tc>
          <w:tcPr>
            <w:tcW w:w="2127" w:type="dxa"/>
            <w:vMerge w:val="restart"/>
            <w:tcBorders>
              <w:top w:val="nil"/>
              <w:left w:val="nil"/>
              <w:bottom w:val="nil"/>
              <w:right w:val="nil"/>
            </w:tcBorders>
          </w:tcPr>
          <w:p w14:paraId="4DF10F5A" w14:textId="77777777" w:rsidR="00B10C68" w:rsidRDefault="00000000">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Most Extreme Differences</w:t>
            </w:r>
          </w:p>
        </w:tc>
        <w:tc>
          <w:tcPr>
            <w:tcW w:w="1445" w:type="dxa"/>
            <w:gridSpan w:val="2"/>
            <w:tcBorders>
              <w:top w:val="nil"/>
              <w:left w:val="nil"/>
              <w:bottom w:val="nil"/>
              <w:right w:val="nil"/>
            </w:tcBorders>
          </w:tcPr>
          <w:p w14:paraId="33E6CB42" w14:textId="77777777" w:rsidR="00B10C68" w:rsidRDefault="00000000">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Absolute</w:t>
            </w:r>
          </w:p>
        </w:tc>
        <w:tc>
          <w:tcPr>
            <w:tcW w:w="1780" w:type="dxa"/>
            <w:gridSpan w:val="2"/>
            <w:tcBorders>
              <w:top w:val="nil"/>
              <w:left w:val="nil"/>
              <w:bottom w:val="nil"/>
              <w:right w:val="nil"/>
            </w:tcBorders>
          </w:tcPr>
          <w:p w14:paraId="38107B78"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.103</w:t>
            </w:r>
          </w:p>
        </w:tc>
      </w:tr>
      <w:tr w:rsidR="00B10C68" w14:paraId="1E6F93F1" w14:textId="77777777">
        <w:trPr>
          <w:cantSplit/>
          <w:jc w:val="center"/>
        </w:trPr>
        <w:tc>
          <w:tcPr>
            <w:tcW w:w="2127" w:type="dxa"/>
            <w:vMerge/>
            <w:tcBorders>
              <w:top w:val="nil"/>
              <w:left w:val="nil"/>
              <w:bottom w:val="nil"/>
              <w:right w:val="nil"/>
            </w:tcBorders>
          </w:tcPr>
          <w:p w14:paraId="7AE867F0" w14:textId="77777777" w:rsidR="00B10C68" w:rsidRDefault="00B10C68">
            <w:pPr>
              <w:autoSpaceDE w:val="0"/>
              <w:autoSpaceDN w:val="0"/>
              <w:adjustRightInd w:val="0"/>
              <w:spacing w:after="0" w:line="240" w:lineRule="auto"/>
              <w:rPr>
                <w:rFonts w:ascii="Times New Roman" w:hAnsi="Times New Roman" w:cs="Times New Roman"/>
              </w:rPr>
            </w:pPr>
          </w:p>
        </w:tc>
        <w:tc>
          <w:tcPr>
            <w:tcW w:w="1445" w:type="dxa"/>
            <w:gridSpan w:val="2"/>
            <w:tcBorders>
              <w:top w:val="nil"/>
              <w:left w:val="nil"/>
              <w:bottom w:val="nil"/>
              <w:right w:val="nil"/>
            </w:tcBorders>
          </w:tcPr>
          <w:p w14:paraId="40E8501C" w14:textId="77777777" w:rsidR="00B10C68" w:rsidRDefault="00000000">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Positive</w:t>
            </w:r>
          </w:p>
        </w:tc>
        <w:tc>
          <w:tcPr>
            <w:tcW w:w="1780" w:type="dxa"/>
            <w:gridSpan w:val="2"/>
            <w:tcBorders>
              <w:top w:val="nil"/>
              <w:left w:val="nil"/>
              <w:bottom w:val="nil"/>
              <w:right w:val="nil"/>
            </w:tcBorders>
          </w:tcPr>
          <w:p w14:paraId="2B5607A2"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.078</w:t>
            </w:r>
          </w:p>
        </w:tc>
      </w:tr>
      <w:tr w:rsidR="00B10C68" w14:paraId="1909013C" w14:textId="77777777">
        <w:trPr>
          <w:cantSplit/>
          <w:jc w:val="center"/>
        </w:trPr>
        <w:tc>
          <w:tcPr>
            <w:tcW w:w="2127" w:type="dxa"/>
            <w:vMerge/>
            <w:tcBorders>
              <w:top w:val="nil"/>
              <w:left w:val="nil"/>
              <w:bottom w:val="nil"/>
              <w:right w:val="nil"/>
            </w:tcBorders>
          </w:tcPr>
          <w:p w14:paraId="398B3FF8" w14:textId="77777777" w:rsidR="00B10C68" w:rsidRDefault="00B10C68">
            <w:pPr>
              <w:autoSpaceDE w:val="0"/>
              <w:autoSpaceDN w:val="0"/>
              <w:adjustRightInd w:val="0"/>
              <w:spacing w:after="0" w:line="240" w:lineRule="auto"/>
              <w:rPr>
                <w:rFonts w:ascii="Times New Roman" w:hAnsi="Times New Roman" w:cs="Times New Roman"/>
              </w:rPr>
            </w:pPr>
          </w:p>
        </w:tc>
        <w:tc>
          <w:tcPr>
            <w:tcW w:w="1445" w:type="dxa"/>
            <w:gridSpan w:val="2"/>
            <w:tcBorders>
              <w:top w:val="nil"/>
              <w:left w:val="nil"/>
              <w:bottom w:val="nil"/>
              <w:right w:val="nil"/>
            </w:tcBorders>
          </w:tcPr>
          <w:p w14:paraId="2E21E882" w14:textId="77777777" w:rsidR="00B10C68" w:rsidRDefault="00000000">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Negative</w:t>
            </w:r>
          </w:p>
        </w:tc>
        <w:tc>
          <w:tcPr>
            <w:tcW w:w="1780" w:type="dxa"/>
            <w:gridSpan w:val="2"/>
            <w:tcBorders>
              <w:top w:val="nil"/>
              <w:left w:val="nil"/>
              <w:bottom w:val="nil"/>
              <w:right w:val="nil"/>
            </w:tcBorders>
          </w:tcPr>
          <w:p w14:paraId="65E18DC7"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-.103</w:t>
            </w:r>
          </w:p>
        </w:tc>
      </w:tr>
      <w:tr w:rsidR="00B10C68" w14:paraId="0E2BC14E" w14:textId="77777777">
        <w:trPr>
          <w:gridAfter w:val="1"/>
          <w:wAfter w:w="8" w:type="dxa"/>
          <w:cantSplit/>
          <w:jc w:val="center"/>
        </w:trPr>
        <w:tc>
          <w:tcPr>
            <w:tcW w:w="3564" w:type="dxa"/>
            <w:gridSpan w:val="2"/>
            <w:tcBorders>
              <w:top w:val="nil"/>
              <w:left w:val="nil"/>
              <w:bottom w:val="nil"/>
              <w:right w:val="nil"/>
            </w:tcBorders>
          </w:tcPr>
          <w:p w14:paraId="09810A88" w14:textId="77777777" w:rsidR="00B10C68" w:rsidRDefault="00000000">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Test Statistic</w:t>
            </w:r>
          </w:p>
        </w:tc>
        <w:tc>
          <w:tcPr>
            <w:tcW w:w="1780" w:type="dxa"/>
            <w:gridSpan w:val="2"/>
            <w:tcBorders>
              <w:top w:val="nil"/>
              <w:left w:val="nil"/>
              <w:bottom w:val="nil"/>
              <w:right w:val="nil"/>
            </w:tcBorders>
          </w:tcPr>
          <w:p w14:paraId="367DAB92"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.103</w:t>
            </w:r>
          </w:p>
        </w:tc>
      </w:tr>
      <w:tr w:rsidR="00B10C68" w14:paraId="45EC827D" w14:textId="77777777">
        <w:trPr>
          <w:gridAfter w:val="1"/>
          <w:wAfter w:w="8" w:type="dxa"/>
          <w:cantSplit/>
          <w:jc w:val="center"/>
        </w:trPr>
        <w:tc>
          <w:tcPr>
            <w:tcW w:w="3564" w:type="dxa"/>
            <w:gridSpan w:val="2"/>
            <w:tcBorders>
              <w:top w:val="nil"/>
              <w:left w:val="nil"/>
              <w:bottom w:val="single" w:sz="8" w:space="0" w:color="152935"/>
              <w:right w:val="nil"/>
            </w:tcBorders>
          </w:tcPr>
          <w:p w14:paraId="3FA388D4" w14:textId="77777777" w:rsidR="00B10C68" w:rsidRDefault="00000000">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Asymp. Sig. (2-tailed)</w:t>
            </w:r>
          </w:p>
        </w:tc>
        <w:tc>
          <w:tcPr>
            <w:tcW w:w="1780" w:type="dxa"/>
            <w:gridSpan w:val="2"/>
            <w:tcBorders>
              <w:top w:val="nil"/>
              <w:left w:val="nil"/>
              <w:bottom w:val="single" w:sz="8" w:space="0" w:color="152935"/>
              <w:right w:val="nil"/>
            </w:tcBorders>
          </w:tcPr>
          <w:p w14:paraId="7FC50F65"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.200</w:t>
            </w:r>
            <w:proofErr w:type="gramStart"/>
            <w:r>
              <w:rPr>
                <w:rFonts w:ascii="Times New Roman" w:hAnsi="Times New Roman" w:cs="Times New Roman"/>
                <w:vertAlign w:val="superscript"/>
              </w:rPr>
              <w:t>c,d</w:t>
            </w:r>
            <w:proofErr w:type="gramEnd"/>
          </w:p>
        </w:tc>
      </w:tr>
    </w:tbl>
    <w:p w14:paraId="1D56C55C" w14:textId="77777777" w:rsidR="00B10C68" w:rsidRDefault="00000000">
      <w:pPr>
        <w:autoSpaceDE w:val="0"/>
        <w:autoSpaceDN w:val="0"/>
        <w:adjustRightInd w:val="0"/>
        <w:spacing w:before="24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Based on table 2, it can be observed that the Asymp. Sig. (2-tailed) value is 0.200 &gt; 0.05, indicating that the data are normally distributed. Subsequently, a linearity test will be conducted to determine whether the sample data come from a population with the same level of variability. The results of the test are presented in table 3.</w:t>
      </w:r>
    </w:p>
    <w:p w14:paraId="24DE2CFF" w14:textId="77777777" w:rsidR="00B10C68" w:rsidRDefault="00000000">
      <w:pPr>
        <w:autoSpaceDE w:val="0"/>
        <w:autoSpaceDN w:val="0"/>
        <w:adjustRightInd w:val="0"/>
        <w:spacing w:before="24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Table 3. Linearity Test Results</w:t>
      </w:r>
    </w:p>
    <w:tbl>
      <w:tblPr>
        <w:tblW w:w="8967" w:type="dxa"/>
        <w:tblBorders>
          <w:top w:val="single" w:sz="4" w:space="0" w:color="152935"/>
          <w:bottom w:val="single" w:sz="4" w:space="0" w:color="152935"/>
        </w:tblBorders>
        <w:tblLayout w:type="fixed"/>
        <w:tblCellMar>
          <w:left w:w="0" w:type="dxa"/>
          <w:right w:w="0" w:type="dxa"/>
        </w:tblCellMar>
        <w:tblLook w:val="0000" w:firstRow="0" w:lastRow="0" w:firstColumn="0" w:lastColumn="0" w:noHBand="0" w:noVBand="0"/>
      </w:tblPr>
      <w:tblGrid>
        <w:gridCol w:w="1276"/>
        <w:gridCol w:w="2397"/>
        <w:gridCol w:w="13"/>
        <w:gridCol w:w="1552"/>
        <w:gridCol w:w="13"/>
        <w:gridCol w:w="584"/>
        <w:gridCol w:w="13"/>
        <w:gridCol w:w="1452"/>
        <w:gridCol w:w="13"/>
        <w:gridCol w:w="932"/>
        <w:gridCol w:w="13"/>
        <w:gridCol w:w="696"/>
        <w:gridCol w:w="13"/>
      </w:tblGrid>
      <w:tr w:rsidR="00B10C68" w14:paraId="5DDA9E5C" w14:textId="77777777">
        <w:trPr>
          <w:gridAfter w:val="1"/>
          <w:wAfter w:w="13" w:type="dxa"/>
          <w:cantSplit/>
        </w:trPr>
        <w:tc>
          <w:tcPr>
            <w:tcW w:w="3673" w:type="dxa"/>
            <w:gridSpan w:val="2"/>
            <w:tcBorders>
              <w:top w:val="single" w:sz="4" w:space="0" w:color="152935"/>
              <w:bottom w:val="single" w:sz="4" w:space="0" w:color="152935"/>
            </w:tcBorders>
            <w:vAlign w:val="bottom"/>
          </w:tcPr>
          <w:p w14:paraId="7A70EC8E" w14:textId="77777777" w:rsidR="00B10C68" w:rsidRDefault="00B10C68">
            <w:pPr>
              <w:autoSpaceDE w:val="0"/>
              <w:autoSpaceDN w:val="0"/>
              <w:adjustRightInd w:val="0"/>
              <w:spacing w:after="0" w:line="240" w:lineRule="auto"/>
              <w:rPr>
                <w:rFonts w:ascii="Times New Roman" w:hAnsi="Times New Roman" w:cs="Times New Roman"/>
                <w:b/>
                <w:bCs/>
              </w:rPr>
            </w:pPr>
          </w:p>
        </w:tc>
        <w:tc>
          <w:tcPr>
            <w:tcW w:w="1565" w:type="dxa"/>
            <w:gridSpan w:val="2"/>
            <w:tcBorders>
              <w:top w:val="single" w:sz="4" w:space="0" w:color="152935"/>
              <w:bottom w:val="single" w:sz="4" w:space="0" w:color="152935"/>
            </w:tcBorders>
            <w:vAlign w:val="bottom"/>
          </w:tcPr>
          <w:p w14:paraId="592FED15" w14:textId="77777777" w:rsidR="00B10C68" w:rsidRDefault="00000000">
            <w:pPr>
              <w:autoSpaceDE w:val="0"/>
              <w:autoSpaceDN w:val="0"/>
              <w:adjustRightInd w:val="0"/>
              <w:spacing w:after="0" w:line="240" w:lineRule="auto"/>
              <w:ind w:left="60"/>
              <w:jc w:val="center"/>
              <w:rPr>
                <w:rFonts w:ascii="Times New Roman" w:hAnsi="Times New Roman" w:cs="Times New Roman"/>
                <w:b/>
                <w:bCs/>
              </w:rPr>
            </w:pPr>
            <w:r>
              <w:rPr>
                <w:rFonts w:ascii="Times New Roman" w:hAnsi="Times New Roman" w:cs="Times New Roman"/>
                <w:b/>
                <w:bCs/>
              </w:rPr>
              <w:t>Sum of Squares</w:t>
            </w:r>
          </w:p>
        </w:tc>
        <w:tc>
          <w:tcPr>
            <w:tcW w:w="597" w:type="dxa"/>
            <w:gridSpan w:val="2"/>
            <w:tcBorders>
              <w:top w:val="single" w:sz="4" w:space="0" w:color="152935"/>
              <w:bottom w:val="single" w:sz="4" w:space="0" w:color="152935"/>
            </w:tcBorders>
            <w:vAlign w:val="bottom"/>
          </w:tcPr>
          <w:p w14:paraId="1EA7353E" w14:textId="77777777" w:rsidR="00B10C68" w:rsidRDefault="00000000">
            <w:pPr>
              <w:autoSpaceDE w:val="0"/>
              <w:autoSpaceDN w:val="0"/>
              <w:adjustRightInd w:val="0"/>
              <w:spacing w:after="0" w:line="240" w:lineRule="auto"/>
              <w:ind w:left="60" w:right="60"/>
              <w:jc w:val="center"/>
              <w:rPr>
                <w:rFonts w:ascii="Times New Roman" w:hAnsi="Times New Roman" w:cs="Times New Roman"/>
                <w:b/>
                <w:bCs/>
              </w:rPr>
            </w:pPr>
            <w:r>
              <w:rPr>
                <w:rFonts w:ascii="Times New Roman" w:hAnsi="Times New Roman" w:cs="Times New Roman"/>
                <w:b/>
                <w:bCs/>
              </w:rPr>
              <w:t>Df</w:t>
            </w:r>
          </w:p>
        </w:tc>
        <w:tc>
          <w:tcPr>
            <w:tcW w:w="1465" w:type="dxa"/>
            <w:gridSpan w:val="2"/>
            <w:tcBorders>
              <w:top w:val="single" w:sz="4" w:space="0" w:color="152935"/>
              <w:bottom w:val="single" w:sz="4" w:space="0" w:color="152935"/>
            </w:tcBorders>
            <w:vAlign w:val="bottom"/>
          </w:tcPr>
          <w:p w14:paraId="0FB2539C" w14:textId="77777777" w:rsidR="00B10C68" w:rsidRDefault="00000000">
            <w:pPr>
              <w:autoSpaceDE w:val="0"/>
              <w:autoSpaceDN w:val="0"/>
              <w:adjustRightInd w:val="0"/>
              <w:spacing w:after="0" w:line="240" w:lineRule="auto"/>
              <w:ind w:left="60" w:right="60"/>
              <w:jc w:val="center"/>
              <w:rPr>
                <w:rFonts w:ascii="Times New Roman" w:hAnsi="Times New Roman" w:cs="Times New Roman"/>
                <w:b/>
                <w:bCs/>
              </w:rPr>
            </w:pPr>
            <w:r>
              <w:rPr>
                <w:rFonts w:ascii="Times New Roman" w:hAnsi="Times New Roman" w:cs="Times New Roman"/>
                <w:b/>
                <w:bCs/>
              </w:rPr>
              <w:t>Mean Square</w:t>
            </w:r>
          </w:p>
        </w:tc>
        <w:tc>
          <w:tcPr>
            <w:tcW w:w="945" w:type="dxa"/>
            <w:gridSpan w:val="2"/>
            <w:tcBorders>
              <w:top w:val="single" w:sz="4" w:space="0" w:color="152935"/>
              <w:bottom w:val="single" w:sz="4" w:space="0" w:color="152935"/>
            </w:tcBorders>
            <w:vAlign w:val="bottom"/>
          </w:tcPr>
          <w:p w14:paraId="473E311B" w14:textId="77777777" w:rsidR="00B10C68" w:rsidRDefault="00000000">
            <w:pPr>
              <w:autoSpaceDE w:val="0"/>
              <w:autoSpaceDN w:val="0"/>
              <w:adjustRightInd w:val="0"/>
              <w:spacing w:after="0" w:line="240" w:lineRule="auto"/>
              <w:ind w:left="60" w:right="60"/>
              <w:jc w:val="center"/>
              <w:rPr>
                <w:rFonts w:ascii="Times New Roman" w:hAnsi="Times New Roman" w:cs="Times New Roman"/>
                <w:b/>
                <w:bCs/>
              </w:rPr>
            </w:pPr>
            <w:r>
              <w:rPr>
                <w:rFonts w:ascii="Times New Roman" w:hAnsi="Times New Roman" w:cs="Times New Roman"/>
                <w:b/>
                <w:bCs/>
              </w:rPr>
              <w:t>F</w:t>
            </w:r>
          </w:p>
        </w:tc>
        <w:tc>
          <w:tcPr>
            <w:tcW w:w="709" w:type="dxa"/>
            <w:gridSpan w:val="2"/>
            <w:tcBorders>
              <w:top w:val="single" w:sz="4" w:space="0" w:color="152935"/>
              <w:bottom w:val="single" w:sz="4" w:space="0" w:color="152935"/>
            </w:tcBorders>
            <w:vAlign w:val="bottom"/>
          </w:tcPr>
          <w:p w14:paraId="37EEC3CF" w14:textId="77777777" w:rsidR="00B10C68" w:rsidRDefault="00000000">
            <w:pPr>
              <w:autoSpaceDE w:val="0"/>
              <w:autoSpaceDN w:val="0"/>
              <w:adjustRightInd w:val="0"/>
              <w:spacing w:after="0" w:line="240" w:lineRule="auto"/>
              <w:ind w:left="60" w:right="60"/>
              <w:jc w:val="center"/>
              <w:rPr>
                <w:rFonts w:ascii="Times New Roman" w:hAnsi="Times New Roman" w:cs="Times New Roman"/>
                <w:b/>
                <w:bCs/>
              </w:rPr>
            </w:pPr>
            <w:r>
              <w:rPr>
                <w:rFonts w:ascii="Times New Roman" w:hAnsi="Times New Roman" w:cs="Times New Roman"/>
                <w:b/>
                <w:bCs/>
              </w:rPr>
              <w:t>Sig.</w:t>
            </w:r>
          </w:p>
        </w:tc>
      </w:tr>
      <w:tr w:rsidR="00B10C68" w14:paraId="6E4A58CD" w14:textId="77777777">
        <w:trPr>
          <w:cantSplit/>
        </w:trPr>
        <w:tc>
          <w:tcPr>
            <w:tcW w:w="1276" w:type="dxa"/>
            <w:vMerge w:val="restart"/>
            <w:tcBorders>
              <w:top w:val="single" w:sz="4" w:space="0" w:color="152935"/>
            </w:tcBorders>
          </w:tcPr>
          <w:p w14:paraId="26FA182C" w14:textId="77777777" w:rsidR="00B10C68" w:rsidRDefault="00000000">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Between Groups</w:t>
            </w:r>
          </w:p>
        </w:tc>
        <w:tc>
          <w:tcPr>
            <w:tcW w:w="2410" w:type="dxa"/>
            <w:gridSpan w:val="2"/>
            <w:tcBorders>
              <w:top w:val="single" w:sz="4" w:space="0" w:color="152935"/>
            </w:tcBorders>
          </w:tcPr>
          <w:p w14:paraId="637E2746" w14:textId="77777777" w:rsidR="00B10C68" w:rsidRDefault="00000000">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(Combined)</w:t>
            </w:r>
          </w:p>
        </w:tc>
        <w:tc>
          <w:tcPr>
            <w:tcW w:w="1565" w:type="dxa"/>
            <w:gridSpan w:val="2"/>
            <w:tcBorders>
              <w:top w:val="single" w:sz="4" w:space="0" w:color="152935"/>
            </w:tcBorders>
          </w:tcPr>
          <w:p w14:paraId="79B599B8"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521.871</w:t>
            </w:r>
          </w:p>
        </w:tc>
        <w:tc>
          <w:tcPr>
            <w:tcW w:w="597" w:type="dxa"/>
            <w:gridSpan w:val="2"/>
            <w:tcBorders>
              <w:top w:val="single" w:sz="4" w:space="0" w:color="152935"/>
            </w:tcBorders>
          </w:tcPr>
          <w:p w14:paraId="46D71A42"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7</w:t>
            </w:r>
          </w:p>
        </w:tc>
        <w:tc>
          <w:tcPr>
            <w:tcW w:w="1465" w:type="dxa"/>
            <w:gridSpan w:val="2"/>
            <w:tcBorders>
              <w:top w:val="single" w:sz="4" w:space="0" w:color="152935"/>
            </w:tcBorders>
          </w:tcPr>
          <w:p w14:paraId="45173DE7"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74.553</w:t>
            </w:r>
          </w:p>
        </w:tc>
        <w:tc>
          <w:tcPr>
            <w:tcW w:w="945" w:type="dxa"/>
            <w:gridSpan w:val="2"/>
            <w:tcBorders>
              <w:top w:val="single" w:sz="4" w:space="0" w:color="152935"/>
            </w:tcBorders>
          </w:tcPr>
          <w:p w14:paraId="27AE9E49"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2.659</w:t>
            </w:r>
          </w:p>
        </w:tc>
        <w:tc>
          <w:tcPr>
            <w:tcW w:w="709" w:type="dxa"/>
            <w:gridSpan w:val="2"/>
            <w:tcBorders>
              <w:top w:val="single" w:sz="4" w:space="0" w:color="152935"/>
            </w:tcBorders>
          </w:tcPr>
          <w:p w14:paraId="70FB286A"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.037</w:t>
            </w:r>
          </w:p>
        </w:tc>
      </w:tr>
      <w:tr w:rsidR="00B10C68" w14:paraId="7481A781" w14:textId="77777777">
        <w:trPr>
          <w:cantSplit/>
        </w:trPr>
        <w:tc>
          <w:tcPr>
            <w:tcW w:w="1276" w:type="dxa"/>
            <w:vMerge/>
          </w:tcPr>
          <w:p w14:paraId="353D98B3" w14:textId="77777777" w:rsidR="00B10C68" w:rsidRDefault="00B10C68">
            <w:pPr>
              <w:autoSpaceDE w:val="0"/>
              <w:autoSpaceDN w:val="0"/>
              <w:adjustRightInd w:val="0"/>
              <w:spacing w:after="0" w:line="240" w:lineRule="auto"/>
              <w:rPr>
                <w:rFonts w:ascii="Times New Roman" w:hAnsi="Times New Roman" w:cs="Times New Roman"/>
              </w:rPr>
            </w:pPr>
          </w:p>
        </w:tc>
        <w:tc>
          <w:tcPr>
            <w:tcW w:w="2410" w:type="dxa"/>
            <w:gridSpan w:val="2"/>
          </w:tcPr>
          <w:p w14:paraId="1717D7FB" w14:textId="77777777" w:rsidR="00B10C68" w:rsidRDefault="00000000">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Linearity</w:t>
            </w:r>
          </w:p>
        </w:tc>
        <w:tc>
          <w:tcPr>
            <w:tcW w:w="1565" w:type="dxa"/>
            <w:gridSpan w:val="2"/>
          </w:tcPr>
          <w:p w14:paraId="08C58091"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314.895</w:t>
            </w:r>
          </w:p>
        </w:tc>
        <w:tc>
          <w:tcPr>
            <w:tcW w:w="597" w:type="dxa"/>
            <w:gridSpan w:val="2"/>
          </w:tcPr>
          <w:p w14:paraId="1BE1FFFD"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1</w:t>
            </w:r>
          </w:p>
        </w:tc>
        <w:tc>
          <w:tcPr>
            <w:tcW w:w="1465" w:type="dxa"/>
            <w:gridSpan w:val="2"/>
          </w:tcPr>
          <w:p w14:paraId="4826410F"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314.895</w:t>
            </w:r>
          </w:p>
        </w:tc>
        <w:tc>
          <w:tcPr>
            <w:tcW w:w="945" w:type="dxa"/>
            <w:gridSpan w:val="2"/>
          </w:tcPr>
          <w:p w14:paraId="7E9AC678"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11.229</w:t>
            </w:r>
          </w:p>
        </w:tc>
        <w:tc>
          <w:tcPr>
            <w:tcW w:w="709" w:type="dxa"/>
            <w:gridSpan w:val="2"/>
          </w:tcPr>
          <w:p w14:paraId="12BCEAA0"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.003</w:t>
            </w:r>
          </w:p>
        </w:tc>
      </w:tr>
      <w:tr w:rsidR="00B10C68" w14:paraId="049302B3" w14:textId="77777777">
        <w:trPr>
          <w:cantSplit/>
        </w:trPr>
        <w:tc>
          <w:tcPr>
            <w:tcW w:w="1276" w:type="dxa"/>
            <w:vMerge/>
          </w:tcPr>
          <w:p w14:paraId="2D040696" w14:textId="77777777" w:rsidR="00B10C68" w:rsidRDefault="00B10C68">
            <w:pPr>
              <w:autoSpaceDE w:val="0"/>
              <w:autoSpaceDN w:val="0"/>
              <w:adjustRightInd w:val="0"/>
              <w:spacing w:after="0" w:line="240" w:lineRule="auto"/>
              <w:rPr>
                <w:rFonts w:ascii="Times New Roman" w:hAnsi="Times New Roman" w:cs="Times New Roman"/>
              </w:rPr>
            </w:pPr>
          </w:p>
        </w:tc>
        <w:tc>
          <w:tcPr>
            <w:tcW w:w="2410" w:type="dxa"/>
            <w:gridSpan w:val="2"/>
          </w:tcPr>
          <w:p w14:paraId="0E7D72C0" w14:textId="77777777" w:rsidR="00B10C68" w:rsidRDefault="00000000">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Deviation from Linearity</w:t>
            </w:r>
          </w:p>
        </w:tc>
        <w:tc>
          <w:tcPr>
            <w:tcW w:w="1565" w:type="dxa"/>
            <w:gridSpan w:val="2"/>
          </w:tcPr>
          <w:p w14:paraId="7DA7E372"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206.977</w:t>
            </w:r>
          </w:p>
        </w:tc>
        <w:tc>
          <w:tcPr>
            <w:tcW w:w="597" w:type="dxa"/>
            <w:gridSpan w:val="2"/>
          </w:tcPr>
          <w:p w14:paraId="2CCD995B"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6</w:t>
            </w:r>
          </w:p>
        </w:tc>
        <w:tc>
          <w:tcPr>
            <w:tcW w:w="1465" w:type="dxa"/>
            <w:gridSpan w:val="2"/>
          </w:tcPr>
          <w:p w14:paraId="66810528"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34.496</w:t>
            </w:r>
          </w:p>
        </w:tc>
        <w:tc>
          <w:tcPr>
            <w:tcW w:w="945" w:type="dxa"/>
            <w:gridSpan w:val="2"/>
          </w:tcPr>
          <w:p w14:paraId="7EAFCC35"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1.230</w:t>
            </w:r>
          </w:p>
        </w:tc>
        <w:tc>
          <w:tcPr>
            <w:tcW w:w="709" w:type="dxa"/>
            <w:gridSpan w:val="2"/>
          </w:tcPr>
          <w:p w14:paraId="393A170C"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.329</w:t>
            </w:r>
          </w:p>
        </w:tc>
      </w:tr>
      <w:tr w:rsidR="00B10C68" w14:paraId="39178621" w14:textId="77777777">
        <w:trPr>
          <w:gridAfter w:val="1"/>
          <w:wAfter w:w="13" w:type="dxa"/>
          <w:cantSplit/>
        </w:trPr>
        <w:tc>
          <w:tcPr>
            <w:tcW w:w="3673" w:type="dxa"/>
            <w:gridSpan w:val="2"/>
          </w:tcPr>
          <w:p w14:paraId="16DB509E" w14:textId="77777777" w:rsidR="00B10C68" w:rsidRDefault="00000000">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Within Groups</w:t>
            </w:r>
          </w:p>
        </w:tc>
        <w:tc>
          <w:tcPr>
            <w:tcW w:w="1565" w:type="dxa"/>
            <w:gridSpan w:val="2"/>
          </w:tcPr>
          <w:p w14:paraId="76B06ABA"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616.929</w:t>
            </w:r>
          </w:p>
        </w:tc>
        <w:tc>
          <w:tcPr>
            <w:tcW w:w="597" w:type="dxa"/>
            <w:gridSpan w:val="2"/>
          </w:tcPr>
          <w:p w14:paraId="68FB5DA6"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22</w:t>
            </w:r>
          </w:p>
        </w:tc>
        <w:tc>
          <w:tcPr>
            <w:tcW w:w="1465" w:type="dxa"/>
            <w:gridSpan w:val="2"/>
          </w:tcPr>
          <w:p w14:paraId="0E44A1B8"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28.042</w:t>
            </w:r>
          </w:p>
        </w:tc>
        <w:tc>
          <w:tcPr>
            <w:tcW w:w="945" w:type="dxa"/>
            <w:gridSpan w:val="2"/>
            <w:vAlign w:val="center"/>
          </w:tcPr>
          <w:p w14:paraId="79FCBF58" w14:textId="77777777" w:rsidR="00B10C68" w:rsidRDefault="00B10C68">
            <w:pPr>
              <w:autoSpaceDE w:val="0"/>
              <w:autoSpaceDN w:val="0"/>
              <w:adjustRightInd w:val="0"/>
              <w:spacing w:after="0" w:line="240" w:lineRule="auto"/>
              <w:rPr>
                <w:rFonts w:ascii="Times New Roman" w:hAnsi="Times New Roman" w:cs="Times New Roman"/>
              </w:rPr>
            </w:pPr>
          </w:p>
        </w:tc>
        <w:tc>
          <w:tcPr>
            <w:tcW w:w="709" w:type="dxa"/>
            <w:gridSpan w:val="2"/>
            <w:vAlign w:val="center"/>
          </w:tcPr>
          <w:p w14:paraId="70459950" w14:textId="77777777" w:rsidR="00B10C68" w:rsidRDefault="00B10C68">
            <w:pPr>
              <w:autoSpaceDE w:val="0"/>
              <w:autoSpaceDN w:val="0"/>
              <w:adjustRightInd w:val="0"/>
              <w:spacing w:after="0" w:line="240" w:lineRule="auto"/>
              <w:rPr>
                <w:rFonts w:ascii="Times New Roman" w:hAnsi="Times New Roman" w:cs="Times New Roman"/>
              </w:rPr>
            </w:pPr>
          </w:p>
        </w:tc>
      </w:tr>
      <w:tr w:rsidR="00B10C68" w14:paraId="2CB84F87" w14:textId="77777777">
        <w:trPr>
          <w:gridAfter w:val="1"/>
          <w:wAfter w:w="13" w:type="dxa"/>
          <w:cantSplit/>
        </w:trPr>
        <w:tc>
          <w:tcPr>
            <w:tcW w:w="3673" w:type="dxa"/>
            <w:gridSpan w:val="2"/>
          </w:tcPr>
          <w:p w14:paraId="56816166" w14:textId="77777777" w:rsidR="00B10C68" w:rsidRDefault="00000000">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Total</w:t>
            </w:r>
          </w:p>
        </w:tc>
        <w:tc>
          <w:tcPr>
            <w:tcW w:w="1565" w:type="dxa"/>
            <w:gridSpan w:val="2"/>
          </w:tcPr>
          <w:p w14:paraId="3C8275D9"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1138.800</w:t>
            </w:r>
          </w:p>
        </w:tc>
        <w:tc>
          <w:tcPr>
            <w:tcW w:w="597" w:type="dxa"/>
            <w:gridSpan w:val="2"/>
          </w:tcPr>
          <w:p w14:paraId="73EFDFF8"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29</w:t>
            </w:r>
          </w:p>
        </w:tc>
        <w:tc>
          <w:tcPr>
            <w:tcW w:w="1465" w:type="dxa"/>
            <w:gridSpan w:val="2"/>
            <w:vAlign w:val="center"/>
          </w:tcPr>
          <w:p w14:paraId="54701AA3" w14:textId="77777777" w:rsidR="00B10C68" w:rsidRDefault="00B10C68">
            <w:pPr>
              <w:autoSpaceDE w:val="0"/>
              <w:autoSpaceDN w:val="0"/>
              <w:adjustRightInd w:val="0"/>
              <w:spacing w:after="0" w:line="240" w:lineRule="auto"/>
              <w:rPr>
                <w:rFonts w:ascii="Times New Roman" w:hAnsi="Times New Roman" w:cs="Times New Roman"/>
              </w:rPr>
            </w:pPr>
          </w:p>
        </w:tc>
        <w:tc>
          <w:tcPr>
            <w:tcW w:w="945" w:type="dxa"/>
            <w:gridSpan w:val="2"/>
            <w:vAlign w:val="center"/>
          </w:tcPr>
          <w:p w14:paraId="6BBACEA2" w14:textId="77777777" w:rsidR="00B10C68" w:rsidRDefault="00B10C68">
            <w:pPr>
              <w:autoSpaceDE w:val="0"/>
              <w:autoSpaceDN w:val="0"/>
              <w:adjustRightInd w:val="0"/>
              <w:spacing w:after="0" w:line="240" w:lineRule="auto"/>
              <w:rPr>
                <w:rFonts w:ascii="Times New Roman" w:hAnsi="Times New Roman" w:cs="Times New Roman"/>
              </w:rPr>
            </w:pPr>
          </w:p>
        </w:tc>
        <w:tc>
          <w:tcPr>
            <w:tcW w:w="709" w:type="dxa"/>
            <w:gridSpan w:val="2"/>
            <w:vAlign w:val="center"/>
          </w:tcPr>
          <w:p w14:paraId="7895FA82" w14:textId="77777777" w:rsidR="00B10C68" w:rsidRDefault="00B10C68">
            <w:pPr>
              <w:autoSpaceDE w:val="0"/>
              <w:autoSpaceDN w:val="0"/>
              <w:adjustRightInd w:val="0"/>
              <w:spacing w:after="0" w:line="240" w:lineRule="auto"/>
              <w:rPr>
                <w:rFonts w:ascii="Times New Roman" w:hAnsi="Times New Roman" w:cs="Times New Roman"/>
              </w:rPr>
            </w:pPr>
          </w:p>
        </w:tc>
      </w:tr>
    </w:tbl>
    <w:p w14:paraId="35CFC316" w14:textId="77777777" w:rsidR="00B10C68" w:rsidRDefault="00000000">
      <w:pPr>
        <w:autoSpaceDE w:val="0"/>
        <w:autoSpaceDN w:val="0"/>
        <w:adjustRightInd w:val="0"/>
        <w:spacing w:before="24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Based on table 3, it can be seen that the significance value for Deviation from Linearity is 0.329 &gt; 0.05, indicating that there is a significant linear relationship between the </w:t>
      </w:r>
      <w:r>
        <w:rPr>
          <w:rFonts w:ascii="Times New Roman" w:hAnsi="Times New Roman" w:cs="Times New Roman"/>
          <w:sz w:val="24"/>
          <w:szCs w:val="24"/>
        </w:rPr>
        <w:lastRenderedPageBreak/>
        <w:t>implementation of the 3CM model and students' critical thinking skills. The next step is to determine the regression coefficient, as shown in table 4.</w:t>
      </w:r>
    </w:p>
    <w:p w14:paraId="7E7C030C" w14:textId="77777777" w:rsidR="00B10C68" w:rsidRDefault="00000000">
      <w:pPr>
        <w:autoSpaceDE w:val="0"/>
        <w:autoSpaceDN w:val="0"/>
        <w:adjustRightInd w:val="0"/>
        <w:spacing w:before="240" w:after="0" w:line="240" w:lineRule="auto"/>
        <w:jc w:val="center"/>
        <w:rPr>
          <w:rFonts w:ascii="Times New Roman" w:hAnsi="Times New Roman" w:cs="Times New Roman"/>
          <w:b/>
          <w:bCs/>
        </w:rPr>
      </w:pPr>
      <w:r>
        <w:rPr>
          <w:rFonts w:ascii="Times New Roman" w:hAnsi="Times New Roman" w:cs="Times New Roman"/>
          <w:b/>
          <w:bCs/>
        </w:rPr>
        <w:t>Table 4. Regression coefficients</w:t>
      </w:r>
    </w:p>
    <w:tbl>
      <w:tblPr>
        <w:tblW w:w="8135" w:type="dxa"/>
        <w:jc w:val="center"/>
        <w:tblBorders>
          <w:top w:val="single" w:sz="8" w:space="0" w:color="152935"/>
          <w:bottom w:val="single" w:sz="8" w:space="0" w:color="152935"/>
        </w:tblBorders>
        <w:tblLayout w:type="fixed"/>
        <w:tblCellMar>
          <w:left w:w="0" w:type="dxa"/>
          <w:right w:w="0" w:type="dxa"/>
        </w:tblCellMar>
        <w:tblLook w:val="0000" w:firstRow="0" w:lastRow="0" w:firstColumn="0" w:lastColumn="0" w:noHBand="0" w:noVBand="0"/>
      </w:tblPr>
      <w:tblGrid>
        <w:gridCol w:w="426"/>
        <w:gridCol w:w="1559"/>
        <w:gridCol w:w="1276"/>
        <w:gridCol w:w="1338"/>
        <w:gridCol w:w="1476"/>
        <w:gridCol w:w="1030"/>
        <w:gridCol w:w="1030"/>
      </w:tblGrid>
      <w:tr w:rsidR="00B10C68" w14:paraId="4BAC3D70" w14:textId="77777777">
        <w:trPr>
          <w:cantSplit/>
          <w:jc w:val="center"/>
        </w:trPr>
        <w:tc>
          <w:tcPr>
            <w:tcW w:w="1985" w:type="dxa"/>
            <w:gridSpan w:val="2"/>
            <w:vMerge w:val="restart"/>
            <w:tcBorders>
              <w:top w:val="single" w:sz="8" w:space="0" w:color="152935"/>
              <w:bottom w:val="nil"/>
            </w:tcBorders>
            <w:vAlign w:val="bottom"/>
          </w:tcPr>
          <w:p w14:paraId="768DDE50" w14:textId="77777777" w:rsidR="00B10C68" w:rsidRDefault="00000000">
            <w:pPr>
              <w:autoSpaceDE w:val="0"/>
              <w:autoSpaceDN w:val="0"/>
              <w:adjustRightInd w:val="0"/>
              <w:spacing w:after="0" w:line="240" w:lineRule="auto"/>
              <w:ind w:left="60" w:right="60"/>
              <w:rPr>
                <w:rFonts w:ascii="Times New Roman" w:hAnsi="Times New Roman" w:cs="Times New Roman"/>
                <w:b/>
                <w:bCs/>
              </w:rPr>
            </w:pPr>
            <w:r>
              <w:rPr>
                <w:rFonts w:ascii="Times New Roman" w:hAnsi="Times New Roman" w:cs="Times New Roman"/>
                <w:b/>
                <w:bCs/>
              </w:rPr>
              <w:t>Model</w:t>
            </w:r>
          </w:p>
        </w:tc>
        <w:tc>
          <w:tcPr>
            <w:tcW w:w="2614" w:type="dxa"/>
            <w:gridSpan w:val="2"/>
            <w:tcBorders>
              <w:top w:val="single" w:sz="8" w:space="0" w:color="152935"/>
              <w:bottom w:val="nil"/>
            </w:tcBorders>
            <w:vAlign w:val="bottom"/>
          </w:tcPr>
          <w:p w14:paraId="3B96A61D" w14:textId="77777777" w:rsidR="00B10C68" w:rsidRDefault="00000000">
            <w:pPr>
              <w:autoSpaceDE w:val="0"/>
              <w:autoSpaceDN w:val="0"/>
              <w:adjustRightInd w:val="0"/>
              <w:spacing w:after="0" w:line="240" w:lineRule="auto"/>
              <w:ind w:left="60" w:right="60"/>
              <w:jc w:val="center"/>
              <w:rPr>
                <w:rFonts w:ascii="Times New Roman" w:hAnsi="Times New Roman" w:cs="Times New Roman"/>
                <w:b/>
                <w:bCs/>
              </w:rPr>
            </w:pPr>
            <w:r>
              <w:rPr>
                <w:rFonts w:ascii="Times New Roman" w:hAnsi="Times New Roman" w:cs="Times New Roman"/>
                <w:b/>
                <w:bCs/>
              </w:rPr>
              <w:t>Unstandardized Coefficients</w:t>
            </w:r>
          </w:p>
        </w:tc>
        <w:tc>
          <w:tcPr>
            <w:tcW w:w="1476" w:type="dxa"/>
            <w:tcBorders>
              <w:top w:val="single" w:sz="8" w:space="0" w:color="152935"/>
              <w:bottom w:val="nil"/>
            </w:tcBorders>
            <w:vAlign w:val="bottom"/>
          </w:tcPr>
          <w:p w14:paraId="1D6F748A" w14:textId="77777777" w:rsidR="00B10C68" w:rsidRDefault="00000000">
            <w:pPr>
              <w:autoSpaceDE w:val="0"/>
              <w:autoSpaceDN w:val="0"/>
              <w:adjustRightInd w:val="0"/>
              <w:spacing w:after="0" w:line="240" w:lineRule="auto"/>
              <w:ind w:left="60" w:right="60"/>
              <w:jc w:val="center"/>
              <w:rPr>
                <w:rFonts w:ascii="Times New Roman" w:hAnsi="Times New Roman" w:cs="Times New Roman"/>
                <w:b/>
                <w:bCs/>
              </w:rPr>
            </w:pPr>
            <w:r>
              <w:rPr>
                <w:rFonts w:ascii="Times New Roman" w:hAnsi="Times New Roman" w:cs="Times New Roman"/>
                <w:b/>
                <w:bCs/>
              </w:rPr>
              <w:t>Standardized Coefficients</w:t>
            </w:r>
          </w:p>
        </w:tc>
        <w:tc>
          <w:tcPr>
            <w:tcW w:w="1030" w:type="dxa"/>
            <w:tcBorders>
              <w:top w:val="single" w:sz="8" w:space="0" w:color="152935"/>
              <w:bottom w:val="nil"/>
            </w:tcBorders>
            <w:vAlign w:val="bottom"/>
          </w:tcPr>
          <w:p w14:paraId="57D688FB" w14:textId="77777777" w:rsidR="00B10C68" w:rsidRDefault="00000000">
            <w:pPr>
              <w:autoSpaceDE w:val="0"/>
              <w:autoSpaceDN w:val="0"/>
              <w:adjustRightInd w:val="0"/>
              <w:spacing w:after="0" w:line="240" w:lineRule="auto"/>
              <w:ind w:left="60" w:right="60"/>
              <w:jc w:val="center"/>
              <w:rPr>
                <w:rFonts w:ascii="Times New Roman" w:hAnsi="Times New Roman" w:cs="Times New Roman"/>
                <w:b/>
                <w:bCs/>
              </w:rPr>
            </w:pPr>
            <w:r>
              <w:rPr>
                <w:rFonts w:ascii="Times New Roman" w:hAnsi="Times New Roman" w:cs="Times New Roman"/>
                <w:b/>
                <w:bCs/>
              </w:rPr>
              <w:t>t</w:t>
            </w:r>
          </w:p>
        </w:tc>
        <w:tc>
          <w:tcPr>
            <w:tcW w:w="1030" w:type="dxa"/>
            <w:tcBorders>
              <w:top w:val="single" w:sz="8" w:space="0" w:color="152935"/>
              <w:bottom w:val="nil"/>
            </w:tcBorders>
            <w:vAlign w:val="bottom"/>
          </w:tcPr>
          <w:p w14:paraId="5C51DD86" w14:textId="77777777" w:rsidR="00B10C68" w:rsidRDefault="00000000">
            <w:pPr>
              <w:autoSpaceDE w:val="0"/>
              <w:autoSpaceDN w:val="0"/>
              <w:adjustRightInd w:val="0"/>
              <w:spacing w:after="0" w:line="240" w:lineRule="auto"/>
              <w:ind w:left="60" w:right="60"/>
              <w:jc w:val="center"/>
              <w:rPr>
                <w:rFonts w:ascii="Times New Roman" w:hAnsi="Times New Roman" w:cs="Times New Roman"/>
                <w:b/>
                <w:bCs/>
              </w:rPr>
            </w:pPr>
            <w:r>
              <w:rPr>
                <w:rFonts w:ascii="Times New Roman" w:hAnsi="Times New Roman" w:cs="Times New Roman"/>
                <w:b/>
                <w:bCs/>
              </w:rPr>
              <w:t>Sig.</w:t>
            </w:r>
          </w:p>
        </w:tc>
      </w:tr>
      <w:tr w:rsidR="00B10C68" w14:paraId="70D57371" w14:textId="77777777">
        <w:trPr>
          <w:cantSplit/>
          <w:jc w:val="center"/>
        </w:trPr>
        <w:tc>
          <w:tcPr>
            <w:tcW w:w="1985" w:type="dxa"/>
            <w:gridSpan w:val="2"/>
            <w:vMerge/>
            <w:tcBorders>
              <w:top w:val="nil"/>
              <w:bottom w:val="single" w:sz="8" w:space="0" w:color="152935"/>
            </w:tcBorders>
            <w:vAlign w:val="bottom"/>
          </w:tcPr>
          <w:p w14:paraId="29BDD0C6" w14:textId="77777777" w:rsidR="00B10C68" w:rsidRDefault="00B10C68">
            <w:pPr>
              <w:autoSpaceDE w:val="0"/>
              <w:autoSpaceDN w:val="0"/>
              <w:adjustRightInd w:val="0"/>
              <w:spacing w:after="0" w:line="240" w:lineRule="auto"/>
              <w:rPr>
                <w:rFonts w:ascii="Times New Roman" w:hAnsi="Times New Roman" w:cs="Times New Roman"/>
              </w:rPr>
            </w:pPr>
          </w:p>
        </w:tc>
        <w:tc>
          <w:tcPr>
            <w:tcW w:w="1276" w:type="dxa"/>
            <w:tcBorders>
              <w:top w:val="nil"/>
              <w:bottom w:val="single" w:sz="8" w:space="0" w:color="152935"/>
            </w:tcBorders>
            <w:vAlign w:val="bottom"/>
          </w:tcPr>
          <w:p w14:paraId="71FF02A9" w14:textId="77777777" w:rsidR="00B10C68" w:rsidRDefault="00000000">
            <w:pPr>
              <w:autoSpaceDE w:val="0"/>
              <w:autoSpaceDN w:val="0"/>
              <w:adjustRightInd w:val="0"/>
              <w:spacing w:after="0" w:line="240" w:lineRule="auto"/>
              <w:ind w:left="60" w:right="60"/>
              <w:jc w:val="center"/>
              <w:rPr>
                <w:rFonts w:ascii="Times New Roman" w:hAnsi="Times New Roman" w:cs="Times New Roman"/>
                <w:b/>
                <w:bCs/>
              </w:rPr>
            </w:pPr>
            <w:r>
              <w:rPr>
                <w:rFonts w:ascii="Times New Roman" w:hAnsi="Times New Roman" w:cs="Times New Roman"/>
                <w:b/>
                <w:bCs/>
              </w:rPr>
              <w:t>B</w:t>
            </w:r>
          </w:p>
        </w:tc>
        <w:tc>
          <w:tcPr>
            <w:tcW w:w="1338" w:type="dxa"/>
            <w:tcBorders>
              <w:top w:val="nil"/>
              <w:bottom w:val="single" w:sz="8" w:space="0" w:color="152935"/>
            </w:tcBorders>
            <w:vAlign w:val="bottom"/>
          </w:tcPr>
          <w:p w14:paraId="5F15F937" w14:textId="77777777" w:rsidR="00B10C68" w:rsidRDefault="00000000">
            <w:pPr>
              <w:autoSpaceDE w:val="0"/>
              <w:autoSpaceDN w:val="0"/>
              <w:adjustRightInd w:val="0"/>
              <w:spacing w:after="0" w:line="240" w:lineRule="auto"/>
              <w:ind w:left="60" w:right="60"/>
              <w:jc w:val="center"/>
              <w:rPr>
                <w:rFonts w:ascii="Times New Roman" w:hAnsi="Times New Roman" w:cs="Times New Roman"/>
                <w:b/>
                <w:bCs/>
              </w:rPr>
            </w:pPr>
            <w:r>
              <w:rPr>
                <w:rFonts w:ascii="Times New Roman" w:hAnsi="Times New Roman" w:cs="Times New Roman"/>
                <w:b/>
                <w:bCs/>
              </w:rPr>
              <w:t>Std. Error</w:t>
            </w:r>
          </w:p>
        </w:tc>
        <w:tc>
          <w:tcPr>
            <w:tcW w:w="1476" w:type="dxa"/>
            <w:tcBorders>
              <w:top w:val="nil"/>
              <w:bottom w:val="single" w:sz="8" w:space="0" w:color="152935"/>
            </w:tcBorders>
            <w:vAlign w:val="bottom"/>
          </w:tcPr>
          <w:p w14:paraId="69069B81" w14:textId="77777777" w:rsidR="00B10C68" w:rsidRDefault="00000000">
            <w:pPr>
              <w:autoSpaceDE w:val="0"/>
              <w:autoSpaceDN w:val="0"/>
              <w:adjustRightInd w:val="0"/>
              <w:spacing w:after="0" w:line="240" w:lineRule="auto"/>
              <w:ind w:left="60" w:right="60"/>
              <w:jc w:val="center"/>
              <w:rPr>
                <w:rFonts w:ascii="Times New Roman" w:hAnsi="Times New Roman" w:cs="Times New Roman"/>
                <w:b/>
                <w:bCs/>
              </w:rPr>
            </w:pPr>
            <w:r>
              <w:rPr>
                <w:rFonts w:ascii="Times New Roman" w:hAnsi="Times New Roman" w:cs="Times New Roman"/>
                <w:b/>
                <w:bCs/>
              </w:rPr>
              <w:t>Beta</w:t>
            </w:r>
          </w:p>
        </w:tc>
        <w:tc>
          <w:tcPr>
            <w:tcW w:w="1030" w:type="dxa"/>
            <w:tcBorders>
              <w:top w:val="nil"/>
              <w:bottom w:val="single" w:sz="8" w:space="0" w:color="152935"/>
            </w:tcBorders>
            <w:vAlign w:val="bottom"/>
          </w:tcPr>
          <w:p w14:paraId="3D888C9D" w14:textId="77777777" w:rsidR="00B10C68" w:rsidRDefault="00B10C68">
            <w:pPr>
              <w:autoSpaceDE w:val="0"/>
              <w:autoSpaceDN w:val="0"/>
              <w:adjustRightInd w:val="0"/>
              <w:spacing w:after="0" w:line="240" w:lineRule="auto"/>
              <w:rPr>
                <w:rFonts w:ascii="Times New Roman" w:hAnsi="Times New Roman" w:cs="Times New Roman"/>
              </w:rPr>
            </w:pPr>
          </w:p>
        </w:tc>
        <w:tc>
          <w:tcPr>
            <w:tcW w:w="1030" w:type="dxa"/>
            <w:tcBorders>
              <w:top w:val="nil"/>
              <w:bottom w:val="single" w:sz="8" w:space="0" w:color="152935"/>
            </w:tcBorders>
            <w:vAlign w:val="bottom"/>
          </w:tcPr>
          <w:p w14:paraId="3A873A54" w14:textId="77777777" w:rsidR="00B10C68" w:rsidRDefault="00B10C68">
            <w:pPr>
              <w:autoSpaceDE w:val="0"/>
              <w:autoSpaceDN w:val="0"/>
              <w:adjustRightInd w:val="0"/>
              <w:spacing w:after="0" w:line="240" w:lineRule="auto"/>
              <w:rPr>
                <w:rFonts w:ascii="Times New Roman" w:hAnsi="Times New Roman" w:cs="Times New Roman"/>
              </w:rPr>
            </w:pPr>
          </w:p>
        </w:tc>
      </w:tr>
      <w:tr w:rsidR="00B10C68" w14:paraId="5D626022" w14:textId="77777777">
        <w:trPr>
          <w:cantSplit/>
          <w:jc w:val="center"/>
        </w:trPr>
        <w:tc>
          <w:tcPr>
            <w:tcW w:w="426" w:type="dxa"/>
            <w:vMerge w:val="restart"/>
            <w:tcBorders>
              <w:top w:val="single" w:sz="8" w:space="0" w:color="152935"/>
            </w:tcBorders>
          </w:tcPr>
          <w:p w14:paraId="47BAA877" w14:textId="77777777" w:rsidR="00B10C68" w:rsidRDefault="00000000">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1</w:t>
            </w:r>
          </w:p>
        </w:tc>
        <w:tc>
          <w:tcPr>
            <w:tcW w:w="1559" w:type="dxa"/>
            <w:tcBorders>
              <w:top w:val="single" w:sz="8" w:space="0" w:color="152935"/>
            </w:tcBorders>
          </w:tcPr>
          <w:p w14:paraId="5EDDC528" w14:textId="77777777" w:rsidR="00B10C68" w:rsidRDefault="00000000">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(Constant)</w:t>
            </w:r>
          </w:p>
        </w:tc>
        <w:tc>
          <w:tcPr>
            <w:tcW w:w="1276" w:type="dxa"/>
            <w:tcBorders>
              <w:top w:val="single" w:sz="8" w:space="0" w:color="152935"/>
            </w:tcBorders>
          </w:tcPr>
          <w:p w14:paraId="7CE166E5"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22.135</w:t>
            </w:r>
          </w:p>
        </w:tc>
        <w:tc>
          <w:tcPr>
            <w:tcW w:w="1338" w:type="dxa"/>
            <w:tcBorders>
              <w:top w:val="single" w:sz="8" w:space="0" w:color="152935"/>
            </w:tcBorders>
          </w:tcPr>
          <w:p w14:paraId="6E355773"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18.998</w:t>
            </w:r>
          </w:p>
        </w:tc>
        <w:tc>
          <w:tcPr>
            <w:tcW w:w="1476" w:type="dxa"/>
            <w:tcBorders>
              <w:top w:val="single" w:sz="8" w:space="0" w:color="152935"/>
            </w:tcBorders>
            <w:vAlign w:val="center"/>
          </w:tcPr>
          <w:p w14:paraId="0F68C526" w14:textId="77777777" w:rsidR="00B10C68" w:rsidRDefault="00B10C68">
            <w:pPr>
              <w:autoSpaceDE w:val="0"/>
              <w:autoSpaceDN w:val="0"/>
              <w:adjustRightInd w:val="0"/>
              <w:spacing w:after="0" w:line="240" w:lineRule="auto"/>
              <w:rPr>
                <w:rFonts w:ascii="Times New Roman" w:hAnsi="Times New Roman" w:cs="Times New Roman"/>
              </w:rPr>
            </w:pPr>
          </w:p>
        </w:tc>
        <w:tc>
          <w:tcPr>
            <w:tcW w:w="1030" w:type="dxa"/>
            <w:tcBorders>
              <w:top w:val="single" w:sz="8" w:space="0" w:color="152935"/>
            </w:tcBorders>
          </w:tcPr>
          <w:p w14:paraId="41600BB6"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1.165</w:t>
            </w:r>
          </w:p>
        </w:tc>
        <w:tc>
          <w:tcPr>
            <w:tcW w:w="1030" w:type="dxa"/>
            <w:tcBorders>
              <w:top w:val="single" w:sz="8" w:space="0" w:color="152935"/>
            </w:tcBorders>
          </w:tcPr>
          <w:p w14:paraId="1CAE14D8"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.254</w:t>
            </w:r>
          </w:p>
        </w:tc>
      </w:tr>
      <w:tr w:rsidR="00B10C68" w14:paraId="452F6654" w14:textId="77777777">
        <w:trPr>
          <w:cantSplit/>
          <w:jc w:val="center"/>
        </w:trPr>
        <w:tc>
          <w:tcPr>
            <w:tcW w:w="426" w:type="dxa"/>
            <w:vMerge/>
          </w:tcPr>
          <w:p w14:paraId="220EE500" w14:textId="77777777" w:rsidR="00B10C68" w:rsidRDefault="00B10C68">
            <w:pPr>
              <w:autoSpaceDE w:val="0"/>
              <w:autoSpaceDN w:val="0"/>
              <w:adjustRightInd w:val="0"/>
              <w:spacing w:after="0" w:line="240" w:lineRule="auto"/>
              <w:rPr>
                <w:rFonts w:ascii="Times New Roman" w:hAnsi="Times New Roman" w:cs="Times New Roman"/>
              </w:rPr>
            </w:pPr>
          </w:p>
        </w:tc>
        <w:tc>
          <w:tcPr>
            <w:tcW w:w="1559" w:type="dxa"/>
          </w:tcPr>
          <w:p w14:paraId="3073F303" w14:textId="77777777" w:rsidR="00B10C68" w:rsidRDefault="00000000">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3CM Model</w:t>
            </w:r>
          </w:p>
        </w:tc>
        <w:tc>
          <w:tcPr>
            <w:tcW w:w="1276" w:type="dxa"/>
          </w:tcPr>
          <w:p w14:paraId="6B3E94E7"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.008</w:t>
            </w:r>
          </w:p>
        </w:tc>
        <w:tc>
          <w:tcPr>
            <w:tcW w:w="1338" w:type="dxa"/>
          </w:tcPr>
          <w:p w14:paraId="5AE34173"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.003</w:t>
            </w:r>
          </w:p>
        </w:tc>
        <w:tc>
          <w:tcPr>
            <w:tcW w:w="1476" w:type="dxa"/>
          </w:tcPr>
          <w:p w14:paraId="5B52C965"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.526</w:t>
            </w:r>
          </w:p>
        </w:tc>
        <w:tc>
          <w:tcPr>
            <w:tcW w:w="1030" w:type="dxa"/>
          </w:tcPr>
          <w:p w14:paraId="120501C2"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3.271</w:t>
            </w:r>
          </w:p>
        </w:tc>
        <w:tc>
          <w:tcPr>
            <w:tcW w:w="1030" w:type="dxa"/>
          </w:tcPr>
          <w:p w14:paraId="65212FB0"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.003</w:t>
            </w:r>
          </w:p>
        </w:tc>
      </w:tr>
    </w:tbl>
    <w:p w14:paraId="22EACCD7" w14:textId="02485243" w:rsidR="00B10C68" w:rsidRDefault="00000000" w:rsidP="000609A4">
      <w:pPr>
        <w:autoSpaceDE w:val="0"/>
        <w:autoSpaceDN w:val="0"/>
        <w:adjustRightInd w:val="0"/>
        <w:spacing w:before="24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Based on Table 4 above, the significance value is 0.003, which is less than 0.05. This indicates that there is a positive and statistically significant relationship between the implementation of the 3CM model and students' critical thinking skills. The magnitude of the effect of the 3CM model implementation on students' critical thinking ability can be further examined in Table 5.</w:t>
      </w:r>
    </w:p>
    <w:p w14:paraId="24C108A2" w14:textId="77777777" w:rsidR="00B10C68" w:rsidRDefault="00000000">
      <w:pPr>
        <w:autoSpaceDE w:val="0"/>
        <w:autoSpaceDN w:val="0"/>
        <w:adjustRightInd w:val="0"/>
        <w:spacing w:before="240" w:after="0" w:line="240" w:lineRule="auto"/>
        <w:jc w:val="center"/>
        <w:rPr>
          <w:rFonts w:ascii="Times New Roman" w:hAnsi="Times New Roman" w:cs="Times New Roman"/>
          <w:b/>
          <w:bCs/>
        </w:rPr>
      </w:pPr>
      <w:r>
        <w:rPr>
          <w:rFonts w:ascii="Times New Roman" w:hAnsi="Times New Roman" w:cs="Times New Roman"/>
          <w:b/>
          <w:bCs/>
        </w:rPr>
        <w:t>Table 5. Magnitude of influence</w:t>
      </w:r>
    </w:p>
    <w:tbl>
      <w:tblPr>
        <w:tblW w:w="6663" w:type="dxa"/>
        <w:jc w:val="center"/>
        <w:tblBorders>
          <w:top w:val="single" w:sz="8" w:space="0" w:color="152935"/>
          <w:bottom w:val="single" w:sz="8" w:space="0" w:color="152935"/>
          <w:insideH w:val="single" w:sz="8" w:space="0" w:color="152935"/>
        </w:tblBorders>
        <w:tblLayout w:type="fixed"/>
        <w:tblCellMar>
          <w:left w:w="0" w:type="dxa"/>
          <w:right w:w="0" w:type="dxa"/>
        </w:tblCellMar>
        <w:tblLook w:val="0000" w:firstRow="0" w:lastRow="0" w:firstColumn="0" w:lastColumn="0" w:noHBand="0" w:noVBand="0"/>
      </w:tblPr>
      <w:tblGrid>
        <w:gridCol w:w="798"/>
        <w:gridCol w:w="1030"/>
        <w:gridCol w:w="1092"/>
        <w:gridCol w:w="1900"/>
        <w:gridCol w:w="1843"/>
      </w:tblGrid>
      <w:tr w:rsidR="00B10C68" w14:paraId="006157F7" w14:textId="77777777">
        <w:trPr>
          <w:cantSplit/>
          <w:jc w:val="center"/>
        </w:trPr>
        <w:tc>
          <w:tcPr>
            <w:tcW w:w="798" w:type="dxa"/>
            <w:vAlign w:val="bottom"/>
          </w:tcPr>
          <w:p w14:paraId="1C74EEFE" w14:textId="77777777" w:rsidR="00B10C68" w:rsidRDefault="00000000">
            <w:pPr>
              <w:autoSpaceDE w:val="0"/>
              <w:autoSpaceDN w:val="0"/>
              <w:adjustRightInd w:val="0"/>
              <w:spacing w:after="0" w:line="240" w:lineRule="auto"/>
              <w:ind w:left="60" w:right="60"/>
              <w:rPr>
                <w:rFonts w:ascii="Times New Roman" w:hAnsi="Times New Roman" w:cs="Times New Roman"/>
                <w:b/>
                <w:bCs/>
              </w:rPr>
            </w:pPr>
            <w:r>
              <w:rPr>
                <w:rFonts w:ascii="Times New Roman" w:hAnsi="Times New Roman" w:cs="Times New Roman"/>
                <w:b/>
                <w:bCs/>
              </w:rPr>
              <w:t>Model</w:t>
            </w:r>
          </w:p>
        </w:tc>
        <w:tc>
          <w:tcPr>
            <w:tcW w:w="1030" w:type="dxa"/>
            <w:vAlign w:val="bottom"/>
          </w:tcPr>
          <w:p w14:paraId="4D014C55" w14:textId="77777777" w:rsidR="00B10C68" w:rsidRDefault="00000000">
            <w:pPr>
              <w:autoSpaceDE w:val="0"/>
              <w:autoSpaceDN w:val="0"/>
              <w:adjustRightInd w:val="0"/>
              <w:spacing w:after="0" w:line="240" w:lineRule="auto"/>
              <w:ind w:left="60" w:right="60"/>
              <w:jc w:val="center"/>
              <w:rPr>
                <w:rFonts w:ascii="Times New Roman" w:hAnsi="Times New Roman" w:cs="Times New Roman"/>
                <w:b/>
                <w:bCs/>
              </w:rPr>
            </w:pPr>
            <w:r>
              <w:rPr>
                <w:rFonts w:ascii="Times New Roman" w:hAnsi="Times New Roman" w:cs="Times New Roman"/>
                <w:b/>
                <w:bCs/>
              </w:rPr>
              <w:t>R</w:t>
            </w:r>
          </w:p>
        </w:tc>
        <w:tc>
          <w:tcPr>
            <w:tcW w:w="1092" w:type="dxa"/>
            <w:vAlign w:val="bottom"/>
          </w:tcPr>
          <w:p w14:paraId="45DA2C59" w14:textId="77777777" w:rsidR="00B10C68" w:rsidRDefault="00000000">
            <w:pPr>
              <w:autoSpaceDE w:val="0"/>
              <w:autoSpaceDN w:val="0"/>
              <w:adjustRightInd w:val="0"/>
              <w:spacing w:after="0" w:line="240" w:lineRule="auto"/>
              <w:ind w:left="60" w:right="60"/>
              <w:jc w:val="center"/>
              <w:rPr>
                <w:rFonts w:ascii="Times New Roman" w:hAnsi="Times New Roman" w:cs="Times New Roman"/>
                <w:b/>
                <w:bCs/>
              </w:rPr>
            </w:pPr>
            <w:r>
              <w:rPr>
                <w:rFonts w:ascii="Times New Roman" w:hAnsi="Times New Roman" w:cs="Times New Roman"/>
                <w:b/>
                <w:bCs/>
              </w:rPr>
              <w:t>R Square</w:t>
            </w:r>
          </w:p>
        </w:tc>
        <w:tc>
          <w:tcPr>
            <w:tcW w:w="1900" w:type="dxa"/>
            <w:vAlign w:val="bottom"/>
          </w:tcPr>
          <w:p w14:paraId="5DE43982" w14:textId="77777777" w:rsidR="00B10C68" w:rsidRDefault="00000000">
            <w:pPr>
              <w:autoSpaceDE w:val="0"/>
              <w:autoSpaceDN w:val="0"/>
              <w:adjustRightInd w:val="0"/>
              <w:spacing w:after="0" w:line="240" w:lineRule="auto"/>
              <w:ind w:left="60" w:right="60"/>
              <w:jc w:val="center"/>
              <w:rPr>
                <w:rFonts w:ascii="Times New Roman" w:hAnsi="Times New Roman" w:cs="Times New Roman"/>
                <w:b/>
                <w:bCs/>
              </w:rPr>
            </w:pPr>
            <w:r>
              <w:rPr>
                <w:rFonts w:ascii="Times New Roman" w:hAnsi="Times New Roman" w:cs="Times New Roman"/>
                <w:b/>
                <w:bCs/>
              </w:rPr>
              <w:t>Adjusted R Square</w:t>
            </w:r>
          </w:p>
        </w:tc>
        <w:tc>
          <w:tcPr>
            <w:tcW w:w="1843" w:type="dxa"/>
            <w:vAlign w:val="bottom"/>
          </w:tcPr>
          <w:p w14:paraId="177F0EA4" w14:textId="77777777" w:rsidR="00B10C68" w:rsidRDefault="00000000">
            <w:pPr>
              <w:autoSpaceDE w:val="0"/>
              <w:autoSpaceDN w:val="0"/>
              <w:adjustRightInd w:val="0"/>
              <w:spacing w:after="0" w:line="240" w:lineRule="auto"/>
              <w:ind w:left="60" w:right="60"/>
              <w:jc w:val="center"/>
              <w:rPr>
                <w:rFonts w:ascii="Times New Roman" w:hAnsi="Times New Roman" w:cs="Times New Roman"/>
                <w:b/>
                <w:bCs/>
              </w:rPr>
            </w:pPr>
            <w:r>
              <w:rPr>
                <w:rFonts w:ascii="Times New Roman" w:hAnsi="Times New Roman" w:cs="Times New Roman"/>
                <w:b/>
                <w:bCs/>
              </w:rPr>
              <w:t>Std. Error of the Estimate</w:t>
            </w:r>
          </w:p>
        </w:tc>
      </w:tr>
      <w:tr w:rsidR="00B10C68" w14:paraId="18EF9B0B" w14:textId="77777777">
        <w:trPr>
          <w:cantSplit/>
          <w:jc w:val="center"/>
        </w:trPr>
        <w:tc>
          <w:tcPr>
            <w:tcW w:w="798" w:type="dxa"/>
          </w:tcPr>
          <w:p w14:paraId="31783C8E" w14:textId="77777777" w:rsidR="00B10C68" w:rsidRDefault="00000000">
            <w:pPr>
              <w:autoSpaceDE w:val="0"/>
              <w:autoSpaceDN w:val="0"/>
              <w:adjustRightInd w:val="0"/>
              <w:spacing w:after="0" w:line="240" w:lineRule="auto"/>
              <w:ind w:left="60" w:right="60"/>
              <w:rPr>
                <w:rFonts w:ascii="Times New Roman" w:hAnsi="Times New Roman" w:cs="Times New Roman"/>
              </w:rPr>
            </w:pPr>
            <w:r>
              <w:rPr>
                <w:rFonts w:ascii="Times New Roman" w:hAnsi="Times New Roman" w:cs="Times New Roman"/>
              </w:rPr>
              <w:t>1</w:t>
            </w:r>
          </w:p>
        </w:tc>
        <w:tc>
          <w:tcPr>
            <w:tcW w:w="1030" w:type="dxa"/>
          </w:tcPr>
          <w:p w14:paraId="6CB7D24D"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.526</w:t>
            </w:r>
            <w:r>
              <w:rPr>
                <w:rFonts w:ascii="Times New Roman" w:hAnsi="Times New Roman" w:cs="Times New Roman"/>
                <w:vertAlign w:val="superscript"/>
              </w:rPr>
              <w:t>a</w:t>
            </w:r>
          </w:p>
        </w:tc>
        <w:tc>
          <w:tcPr>
            <w:tcW w:w="1092" w:type="dxa"/>
          </w:tcPr>
          <w:p w14:paraId="630BBD78"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.277</w:t>
            </w:r>
          </w:p>
        </w:tc>
        <w:tc>
          <w:tcPr>
            <w:tcW w:w="1900" w:type="dxa"/>
          </w:tcPr>
          <w:p w14:paraId="54709B34"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.251</w:t>
            </w:r>
          </w:p>
        </w:tc>
        <w:tc>
          <w:tcPr>
            <w:tcW w:w="1843" w:type="dxa"/>
          </w:tcPr>
          <w:p w14:paraId="7EFF0855" w14:textId="77777777" w:rsidR="00B10C68" w:rsidRDefault="00000000">
            <w:pPr>
              <w:autoSpaceDE w:val="0"/>
              <w:autoSpaceDN w:val="0"/>
              <w:adjustRightInd w:val="0"/>
              <w:spacing w:after="0" w:line="240" w:lineRule="auto"/>
              <w:ind w:left="60" w:right="60"/>
              <w:jc w:val="right"/>
              <w:rPr>
                <w:rFonts w:ascii="Times New Roman" w:hAnsi="Times New Roman" w:cs="Times New Roman"/>
              </w:rPr>
            </w:pPr>
            <w:r>
              <w:rPr>
                <w:rFonts w:ascii="Times New Roman" w:hAnsi="Times New Roman" w:cs="Times New Roman"/>
              </w:rPr>
              <w:t>5.42450</w:t>
            </w:r>
          </w:p>
        </w:tc>
      </w:tr>
    </w:tbl>
    <w:p w14:paraId="3B1BB9B5" w14:textId="77777777" w:rsidR="00B10C68" w:rsidRDefault="00000000">
      <w:pPr>
        <w:autoSpaceDE w:val="0"/>
        <w:autoSpaceDN w:val="0"/>
        <w:adjustRightInd w:val="0"/>
        <w:spacing w:before="24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Based on Table 5, the R Square value is 0.277, indicating that pocket money contributes 27.7% to students’ motivation to learn mathematics, while the remaining 72.3% is influenced by other factors not examined in this study. Meanwhile, the improvement in students’ critical thinking skills can be observed from their pretest and posttest scores as shown in the following figure.</w:t>
      </w:r>
    </w:p>
    <w:p w14:paraId="31B01DE3" w14:textId="77777777" w:rsidR="00B10C68" w:rsidRDefault="00000000">
      <w:pPr>
        <w:autoSpaceDE w:val="0"/>
        <w:autoSpaceDN w:val="0"/>
        <w:adjustRightInd w:val="0"/>
        <w:spacing w:before="240" w:after="0" w:line="276" w:lineRule="auto"/>
        <w:jc w:val="center"/>
        <w:rPr>
          <w:rFonts w:ascii="Times New Roman" w:hAnsi="Times New Roman" w:cs="Times New Roman"/>
          <w:sz w:val="24"/>
          <w:szCs w:val="24"/>
        </w:rPr>
      </w:pPr>
      <w:r>
        <w:rPr>
          <w:rFonts w:ascii="Times New Roman" w:hAnsi="Times New Roman" w:cs="Times New Roman"/>
          <w:noProof/>
        </w:rPr>
        <w:drawing>
          <wp:inline distT="0" distB="0" distL="0" distR="0" wp14:anchorId="3095CE77" wp14:editId="7E1E8930">
            <wp:extent cx="4277710" cy="2743200"/>
            <wp:effectExtent l="0" t="0" r="8890" b="0"/>
            <wp:docPr id="1" name="Chart 1">
              <a:extLst xmlns:a="http://schemas.openxmlformats.org/drawingml/2006/main">
                <a:ext uri="{FF2B5EF4-FFF2-40B4-BE49-F238E27FC236}">
                  <a16:creationId xmlns:a16="http://schemas.microsoft.com/office/drawing/2014/main" id="{CF71E8E2-864B-48FA-8D87-3512287B5E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774BBB" w14:textId="77777777" w:rsidR="00B10C68" w:rsidRDefault="00000000">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Figure 1. Improving Critical Thinking Skills</w:t>
      </w:r>
    </w:p>
    <w:p w14:paraId="17A11C9A" w14:textId="77777777" w:rsidR="00B10C68" w:rsidRDefault="00000000">
      <w:pPr>
        <w:autoSpaceDE w:val="0"/>
        <w:autoSpaceDN w:val="0"/>
        <w:adjustRightInd w:val="0"/>
        <w:spacing w:before="24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Based on the figure above, the pretest and posttest results across six aspects of critical thinking skills show that the highest posttest score was in the Inference aspect, reaching 94.44, while the lowest pretest score was in the Overview aspect, with a score of 41.11. The average pretest score was approximately 61.56, which increased to around 85.80 in the posttest. The greatest improvement occurred in the Situation aspect, rising from 44.44 (pretest) to 82.22 </w:t>
      </w:r>
      <w:r>
        <w:rPr>
          <w:rFonts w:ascii="Times New Roman" w:hAnsi="Times New Roman" w:cs="Times New Roman"/>
          <w:sz w:val="24"/>
          <w:szCs w:val="24"/>
        </w:rPr>
        <w:lastRenderedPageBreak/>
        <w:t>(posttest), representing a 37.78-point increase. Meanwhile, the smallest improvement was in the Focus aspect, which increased by only 11.11 points from 82.22 to 93.33. Overall, these results indicate a significant enhancement in students' critical thinking skills following the instructional intervention.</w:t>
      </w:r>
    </w:p>
    <w:p w14:paraId="1AD3075B" w14:textId="77777777" w:rsidR="00B10C68" w:rsidRDefault="00000000">
      <w:pPr>
        <w:autoSpaceDE w:val="0"/>
        <w:autoSpaceDN w:val="0"/>
        <w:adjustRightInd w:val="0"/>
        <w:spacing w:before="240" w:after="0" w:line="240" w:lineRule="auto"/>
        <w:jc w:val="both"/>
        <w:rPr>
          <w:rFonts w:ascii="Times New Roman" w:hAnsi="Times New Roman" w:cs="Times New Roman"/>
          <w:b/>
          <w:bCs/>
          <w:i/>
          <w:iCs/>
          <w:color w:val="7030A0"/>
          <w:sz w:val="26"/>
          <w:szCs w:val="26"/>
        </w:rPr>
      </w:pPr>
      <w:r>
        <w:rPr>
          <w:rFonts w:ascii="Times New Roman" w:hAnsi="Times New Roman" w:cs="Times New Roman"/>
          <w:b/>
          <w:bCs/>
          <w:i/>
          <w:iCs/>
          <w:color w:val="7030A0"/>
          <w:sz w:val="26"/>
          <w:szCs w:val="26"/>
        </w:rPr>
        <w:t>Discussion</w:t>
      </w:r>
    </w:p>
    <w:p w14:paraId="2CCDE582" w14:textId="77777777" w:rsidR="00B10C68" w:rsidRDefault="0000000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The results of this study indicate that the instruments used have met the criteria for validity and reliability based on tests conducted using SPSS-25. All items in both the test and questionnaire instruments had r</w:t>
      </w:r>
      <w:r>
        <w:rPr>
          <w:rFonts w:ascii="Times New Roman" w:hAnsi="Times New Roman" w:cs="Times New Roman"/>
          <w:sz w:val="24"/>
          <w:szCs w:val="24"/>
          <w:vertAlign w:val="subscript"/>
        </w:rPr>
        <w:t>count</w:t>
      </w:r>
      <w:r>
        <w:rPr>
          <w:rFonts w:ascii="Times New Roman" w:hAnsi="Times New Roman" w:cs="Times New Roman"/>
          <w:sz w:val="24"/>
          <w:szCs w:val="24"/>
        </w:rPr>
        <w:t xml:space="preserve"> values greater than the r</w:t>
      </w:r>
      <w:r>
        <w:rPr>
          <w:rFonts w:ascii="Times New Roman" w:hAnsi="Times New Roman" w:cs="Times New Roman"/>
          <w:sz w:val="24"/>
          <w:szCs w:val="24"/>
          <w:vertAlign w:val="subscript"/>
        </w:rPr>
        <w:t>table</w:t>
      </w:r>
      <w:r>
        <w:rPr>
          <w:rFonts w:ascii="Times New Roman" w:hAnsi="Times New Roman" w:cs="Times New Roman"/>
          <w:sz w:val="24"/>
          <w:szCs w:val="24"/>
        </w:rPr>
        <w:t xml:space="preserve"> (0.361), and the Cronbach’s Alpha significance values exceeded 0.05. This signifies that the measuring instruments consistently and accurately assess the variable under study, namely students’ critical thinking skills. Validity and reliability testing is a crucial step in quantitative research to ensure that the data collected genuinely reflects actual conditions in the field. These aspects are essential as a foundation for proceeding to statistical data analysis; if the instruments are invalid, then the conclusions drawn may also be misleading.</w:t>
      </w:r>
    </w:p>
    <w:p w14:paraId="71EA6F96" w14:textId="77777777" w:rsidR="00B10C68" w:rsidRDefault="0000000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Further data analysis showed that the data were normally distributed, as indicated by the Asymp. Sig. value of 0.200 &gt; 0.05. The linearity test also confirmed a significant linear relationship between the independent and dependent variables, with the deviation from linearity significance value of 0.329 &gt; 0.05. Therefore, the statistical approach used in this study is valid, and the linear regression model is appropriate to examine the effect of the 3CM learning model on critical thinking skills. The regression test results revealed a positive and significant relationship between the implementation of the 3CM model and the improvement of students’ critical thinking skills, with a significance value of 0.003 &lt; 0.05. This is further supported by an R Square value of 0.277, which means that the model accounts for 27.7% of the improvement in critical thinking skills, while the remaining 72.3% is influenced by other external factors not examined in this study.</w:t>
      </w:r>
    </w:p>
    <w:p w14:paraId="49C7B2A5" w14:textId="77777777" w:rsidR="00B10C68" w:rsidRDefault="0000000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pretest and posttest data covering six aspects of critical thinking (Focus, Reason, Inference, Situation, Clarity, and Overview) demonstrated a significant increase. The greatest improvement was observed in the Situation aspect (an increase of 37.78 points), while the smallest improvement occurred in the Focus aspect (an increase of 11.11 points). This reflects that the 3CM learning model is capable of enhancing various aspects of critical thinking in a balanced manner, although its effect is more pronounced on those initially scoring lower. The increase in the average score from 61.56 to 85.80 reflects the model’s effectiveness in stimulating students to think more deeply, structurally, and analytically. These findings are in line with the study by Ariza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{"citationItems":[{"id":"ITEM-1","itemData":{"DOI":"10.1080/02619768.2021.1961736","ISSN":"14695928","abstract":"A shift from teaching to learn to learning to think is necessary to promote critical thinkers. Since teachers tend to replicate the educational models they have experienced as students, new references are needed. In order to address these concerns, we present an interdisciplinary intervention in initial teacher education and analyse its impact on teachers’ critical thinking and awareness of the importance to promote it. The intervention is based on the potential of socio-scientific issues to support argumentation and provide meaningful contexts for graph interpretation. The content analysis of participants’ responses before and after inquiring about climate change shows an increase in the level of argumentation and the capacity to read beyond data, providing evidence of the development of critical thinking. In addition, pre-service teachers explicitly refer to their future responsibility in preparing students to face current challenges, demonstrating awareness of the need to promote critical thinking.","author":[{"dropping-particle":"","family":"Ariza","given":"Marta Romero","non-dropping-particle":"","parse-names":false,"suffix":""},{"dropping-particle":"","family":"Quesada Armenteros","given":"Antonio","non-dropping-particle":"","parse-names":false,"suffix":""},{"dropping-particle":"","family":"Estepa Castro","given":"Antonio","non-dropping-particle":"","parse-names":false,"suffix":""}],"container-title":"European Journal of Teacher Education","id":"ITEM-1","issue":"1","issued":{"date-parts":[["2021"]]},"page":"41-59","publisher":"Routledge","title":"Promoting critical thinking through mathematics and science teacher education: the case of argumentation and graphs interpretation about climate change","type":"article-journal","volume":"47"},"uris":["http://www.mendeley.com/documents/?uuid=aa988445-3d32-47af-8bd3-02048561359b"]}],"mendeley":{"formattedCitation":"[19]","plainTextFormattedCitation":"[19]","previouslyFormattedCitation":"[19]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t xml:space="preserve"> and Adhelacahya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{"citationItems":[{"id":"ITEM-1","itemData":{"DOI":"10.29303/jppipa.v9i7.3931","ISSN":"2460-2582","abstract":"One of the goals of learning physics is to help students develop their critical thinking skills. Preliminary studies conducted at SMAN 1 Pacitan show that the learning process is still teacher-centered with the lecture method and providing practice questions. Such a learning process causes the development of student's critical thinking skills to be less well-stimulated. Using e-modules in physics learning is expected to be a new solution to stimulate students' critical thinking skills. This research aims to determine the impact of Problem-Based learning physics electronic module integrated with STEM on students' critical thinking skills. The research method uses a quasi-experimental technique with a one-group pretest-posttest design. Data analysis used the N-gain test to determine the increase in students' critical thinking skills and the t-test to determine the effect of problem-based learning electronic module integrated with STEM on students' critical thinking skills. The sample was selected using a purposive sampling strategy. The samples involved were 34 students of class XI MIPA Senior High School Pacitan. The test was conducted to collect data on students' critical thinking skills. Research data was collected using an essay test of critical thinking skills totaling twelve valid questions with a reliability coefficient 0.70. Before the N-gain test was carried out, the normality, homogeneity, and t-test were first carried out. In the normality test, the data is normally distributed. In the homogeneity test, the data is homogeneous. Based on the paired sample t-test, it shows that there is a significant difference between pretest and posttest critical thinking skills with a sig. (2-tailed) &lt;0.05, which indicates that the problem-based learning electronic module integrated with STEM has a positive effect on students' critical thinking skills. By acquiring an N-Gain score of 0.76 in the high category, the PBL physics electronic module integrated with STEM on mechanical wave characteristics material can improve students' critical thinking skills.","author":[{"dropping-particle":"","family":"Adhelacahya","given":"Kevin","non-dropping-particle":"","parse-names":false,"suffix":""},{"dropping-particle":"","family":"Sukarmin","given":"Sukarmin","non-dropping-particle":"","parse-names":false,"suffix":""},{"dropping-particle":"","family":"Sarwanto","given":"Sarwanto","non-dropping-particle":"","parse-names":false,"suffix":""}],"container-title":"Jurnal Penelitian Pendidikan IPA","id":"ITEM-1","issue":"7","issued":{"date-parts":[["2023"]]},"page":"4869-4878","title":"Impact of Problem-Based Learning electronics module integrated with STEM on students' critical thinking skills","type":"article-journal","volume":"9"},"uris":["http://www.mendeley.com/documents/?uuid=889da456-da2c-4a28-952c-afc8d799ebdc"]}],"mendeley":{"formattedCitation":"[20]","plainTextFormattedCitation":"[20]","previouslyFormattedCitation":"[20]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[20]</w:t>
      </w:r>
      <w:r>
        <w:rPr>
          <w:rFonts w:ascii="Times New Roman" w:hAnsi="Times New Roman" w:cs="Times New Roman"/>
          <w:sz w:val="24"/>
          <w:szCs w:val="24"/>
        </w:rPr>
        <w:fldChar w:fldCharType="end"/>
      </w:r>
      <w:r>
        <w:rPr>
          <w:rFonts w:ascii="Times New Roman" w:hAnsi="Times New Roman" w:cs="Times New Roman"/>
          <w:sz w:val="24"/>
          <w:szCs w:val="24"/>
        </w:rPr>
        <w:t>, which suggests that learning strategies emphasizing exploration and active student engagement significantly enhance dimensions of critical thinking.</w:t>
      </w:r>
    </w:p>
    <w:p w14:paraId="0D1D462D" w14:textId="77777777" w:rsidR="00B10C68" w:rsidRDefault="0000000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Caring, Critical, Creative and Meaningful model (3CM) is highly aligned with the principles of the Merdeka Curriculum, which emphasizes differentiated instruction, project-based learning, and the development of students’ character and competencies. In this context, the 3CM model does not only address cognitive aspects but also integrates affective and conative domains, supporting the implementation of the Pancasila Student Profile. Learning becomes more meaningful as students are encouraged to understand problems in real-life contexts, think critically to solve them, and demonstrate social awareness toward their environment. This study supports the findings of Kintoko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{"citationItems":[{"id":"ITEM-1","itemData":{"DOI":"10.26486/jm.v9i1.4522","author":[{"dropping-particle":"","family":"Kintoko","given":"","non-dropping-particle":"","parse-names":false,"suffix":""},{"dropping-particle":"","family":"Siswanto","given":"Deny Hadi","non-dropping-particle":"","parse-names":false,"suffix":""}],"container-title":"Jurnal Mercumatika: Jurnal Penelitian Matematika dan Pendidikan Matematika","id":"ITEM-1","issue":"1","issued":{"date-parts":[["2024"]]},"page":"23-29","title":"Effectiveness of the Cool-Critical-Creative-Meaningful (3CM) Learning Model on Enhancing Students' Critical Thinking Skills","type":"article-journal","volume":"9"},"uris":["http://www.mendeley.com/documents/?uuid=9f26674e-c9ba-44b8-b9fb-78985eef84c8"]}],"mendeley":{"formattedCitation":"[21]","plainTextFormattedCitation":"[21]","previouslyFormattedCitation":"[21]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and Wahyudi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{"citationItems":[{"id":"ITEM-1","itemData":{"DOI":"10.15294/jne.v9i1.42095","ISSN":"2442-532X","abstract":"Good character and creativity are two of the ten determining factors of a person's success. These two things are important to form in educational activities, especially in elementary schools. During the Covid-19 pandemic, this became a tough challenge to achieve. The new normal period is beginning, and a good and effective learning preparation is needed. The purpose of this study is to develop blended learning activities with the 3CM model to increase students' creativity and good character. Blended learning is one of the alternative learning modes that can be done. It requires appropriate design and learning activities. Blended learning that gives students the opportunity to develop critical, creative, meaning-ful thinking skills in a fun and challenging way. One of them is a blended learning design based on 3CM (Cool-Critical-Creative-Meaningful). Learning activities with blended learning can be done with full online or a combination of face-to-face and online. This research is RnD re-search with ASSURE design in 6 stages of development activity. The results of the development of blended learning activities based on 3CM learning are carried out in 4 activities, namely 1) it's time to play and challenge (cool), 2) it's time to criticize (critical), 3) it's time to be creative, 4) it's time to reflect and take meaning (meaningful). The results of the assessment of blended learning activities aspects of ease of access to learning score 4.48 (excellent), aspects of content, media and teaching materials score 4.57 (excellent) from the assessment of 45 teachers. Student response to aspects of ease of access to learning score 4.72 (excellent), aspects of content, media and teaching materials score 4.72 (excellent). The results of this study are proven to increase students' creativity and good character.","author":[{"dropping-particle":"","family":"Wahyudi","given":"Wahyudi","non-dropping-particle":"","parse-names":false,"suffix":""},{"dropping-particle":"","family":"Kusuma","given":"Dani","non-dropping-particle":"","parse-names":false,"suffix":""},{"dropping-particle":"","family":"Prihatnani","given":"Erlina","non-dropping-particle":"","parse-names":false,"suffix":""},{"dropping-particle":"","family":"Nova Hasti Yunianta","given":"Tri","non-dropping-particle":"","parse-names":false,"suffix":""},{"dropping-particle":"","family":"Amin","given":"Nor Fadila","non-dropping-particle":"","parse-names":false,"suffix":""}],"container-title":"Journal of Nonformal Education","id":"ITEM-1","issue":"1","issued":{"date-parts":[["2023"]]},"page":"10-22","title":"Development of blended learning activities based on 3CM (Cool-Critical-Creative-Meaningful) to support creativity and good character students","type":"article-journal","volume":"9"},"uris":["http://www.mendeley.com/documents/?uuid=34767381-3ef2-49c0-9983-ae9ddfcc983f"]}],"mendeley":{"formattedCitation":"[22]","plainTextFormattedCitation":"[22]","previouslyFormattedCitation":"[22]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t>, who stated that holistic approaches like 3CM foster 21st-century skills, including critical thinking, collaboration, and creativity.</w:t>
      </w:r>
    </w:p>
    <w:p w14:paraId="3719E4D8" w14:textId="77777777" w:rsidR="00B10C68" w:rsidRDefault="0000000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Moreover, the improvement in the Situation and Inference aspects of critical thinking shows that the 3CM model effectively hones students’ abilities to understand the context of </w:t>
      </w:r>
      <w:r>
        <w:rPr>
          <w:rFonts w:ascii="Times New Roman" w:hAnsi="Times New Roman" w:cs="Times New Roman"/>
          <w:sz w:val="24"/>
          <w:szCs w:val="24"/>
        </w:rPr>
        <w:lastRenderedPageBreak/>
        <w:t xml:space="preserve">problems and draw logical conclusions from available information. This is especially important in the digital age, where students are exposed to a wide range of complex information and need critical thinking skills to filter, evaluate, and use it wisely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{"citationItems":[{"id":"ITEM-1","itemData":{"DOI":"10.22373/jppm.v8i2.23094","author":[{"dropping-particle":"","family":"Siswanto","given":"Deny Hadi","non-dropping-particle":"","parse-names":false,"suffix":""},{"dropping-particle":"","family":"Andriyani","given":"","non-dropping-particle":"","parse-names":false,"suffix":""}],"container-title":"Al Khawarizmi: Jurnal Pendidikan dan Pembelajaran Matematika","id":"ITEM-1","issue":"2","issued":{"date-parts":[["2024"]]},"page":"88-98","title":"Examining students' critical thinking skills in addressing contextual matrix problem withn the tourism travel planing context","type":"article-journal","volume":"8"},"uris":["http://www.mendeley.com/documents/?uuid=aa544770-dbe4-4f5c-a09f-c3044be4b93b"]}],"mendeley":{"formattedCitation":"[23]","plainTextFormattedCitation":"[23]","previouslyFormattedCitation":"[23]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10.17509/curricula.v1i2.52034","author":[{"dropping-particle":"","family":"Azzahra","given":"Fahira","non-dropping-particle":"","parse-names":false,"suffix":""},{"dropping-particle":"","family":"Permana","given":"Hadi","non-dropping-particle":"","parse-names":false,"suffix":""},{"dropping-particle":"","family":"Fitriani","given":"Lulu","non-dropping-particle":"","parse-names":false,"suffix":""},{"dropping-particle":"","family":"Putri","given":"Rida Maulida","non-dropping-particle":"","parse-names":false,"suffix":""},{"dropping-particle":"","family":"Wulandari","given":"Suci","non-dropping-particle":"","parse-names":false,"suffix":""}],"container-title":"Curricula: Journal of Curriculum Development","id":"ITEM-1","issue":"2","issued":{"date-parts":[["2022"]]},"page":"189-204","title":"Approaches and models development of 2013 Curriculum and Merdeka Curriculum","type":"article-journal","volume":"1"},"uris":["http://www.mendeley.com/documents/?uuid=88940ee1-9e6a-412f-b5f9-921498eef360"]}],"mendeley":{"formattedCitation":"[24]","plainTextFormattedCitation":"[24]","previouslyFormattedCitation":"[24]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t xml:space="preserve">. These skills are also integral to the literacy- and numeracy-based national assessments introduced by the Ministry of Education and Culture through the Merdeka Curriculum, which focuses not only on content mastery but also on essential competency development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{"citationItems":[{"id":"ITEM-1","itemData":{"DOI":"10.17509/curricula.v5i1.76836","author":[{"dropping-particle":"","family":"Tarso","given":"","non-dropping-particle":"","parse-names":false,"suffix":""},{"dropping-particle":"","family":"Siswanto","given":"Deny Hadi","non-dropping-particle":"","parse-names":false,"suffix":""},{"dropping-particle":"","family":"Setiawan","given":"Aldo","non-dropping-particle":"","parse-names":false,"suffix":""}],"container-title":"Curricula: Journal of Curriculum Development","id":"ITEM-1","issue":"1","issued":{"date-parts":[["2025"]]},"page":"13-28","title":"Teacher qualifications in the implementation of the Kurikulum Merdeka and ISMUBA","type":"article-journal","volume":"4"},"uris":["http://www.mendeley.com/documents/?uuid=47404cb9-811a-4cf0-ac14-7384ed252dc1"]}],"mendeley":{"formattedCitation":"[25]","plainTextFormattedCitation":"[25]","previouslyFormattedCitation":"[25]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study aims to review the essence of the \"Merdeka Curriculum\" in carrying out its role as a curriculum that transforms educational culture in Indonesia in accordance with the demands of the times in the era of \"society 5.0.\" The research method used in this study is the library research method using a qualitative descriptive approach, where the source of the data used in this study is in the form of books or documents related to research. The primary data used in this study is the Merdeka Belajar guidebook and publications related to Merdeka Belajar delivered by the Minister of Education, Nadim Anwar Makarim, as the initiator of the Merdeka Belajar curriculum itself. Meanwhile, the secondary data in this study are books, journals, and articles with high reputation and credibility related to education and the Merdeka Belajar curriculum itself. The data collection technique used in this study is documentation; the data will be analyzed using qualitative descriptive techniques and validated using source triangulation. The findings of this study are as follows: 1) the purpose of holistic education, namely education that focuses on developing children's noble character rather than just their cognitive abilities; 2) freedom of learning mandates freedom of learning by placing students, teachers, and principals in a school institution as the main figures in the teaching and learning process; and 3) independent learning provides flexibility to schools in order to improve the quality of student learning through education.","author":[{"dropping-particle":"","family":"Ni'mah","given":"Zulfatun","non-dropping-particle":"","parse-names":false,"suffix":""},{"dropping-particle":"","family":"Susanto","given":"Ari","non-dropping-particle":"","parse-names":false,"suffix":""}],"container-title":"Science and Education","id":"ITEM-1","issued":{"date-parts":[["2023"]]},"page":"225-230","title":"The essence of \"Merdeka Belajar\" as a transformational culture change in Indonesian education","type":"paper-conference","volume":"2"},"uris":["http://www.mendeley.com/documents/?uuid=5838c46a-a94d-4f1b-b6f2-77dc4494d007"]}],"mendeley":{"formattedCitation":"[26]","plainTextFormattedCitation":"[26]","previouslyFormattedCitation":"[26]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[26]</w:t>
      </w:r>
      <w:r>
        <w:rPr>
          <w:rFonts w:ascii="Times New Roman" w:hAnsi="Times New Roman" w:cs="Times New Roman"/>
          <w:sz w:val="24"/>
          <w:szCs w:val="24"/>
        </w:rPr>
        <w:fldChar w:fldCharType="end"/>
      </w:r>
      <w:r>
        <w:rPr>
          <w:rFonts w:ascii="Times New Roman" w:hAnsi="Times New Roman" w:cs="Times New Roman"/>
          <w:sz w:val="24"/>
          <w:szCs w:val="24"/>
        </w:rPr>
        <w:t>.</w:t>
      </w:r>
    </w:p>
    <w:p w14:paraId="776D0AA8" w14:textId="77777777" w:rsidR="00B10C68" w:rsidRDefault="0000000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Therefore, this study makes a tangible contribution to the field of education, particularly in efforts to improve students’ critical thinking skills through the application of an innovative learning model that aligns with the direction of the Merdeka Curriculum. The findings may serve as a reference for teachers and education practitioners in designing learning experiences that not only deliver content but also train students to think, feel, and act critically and creatively. Further research is strongly recommended to explore other factors that may influence the enhancement of critical thinking skills, such as students' backgrounds, teacher approaches, and the use of educational technology.</w:t>
      </w:r>
    </w:p>
    <w:p w14:paraId="4E5EA148" w14:textId="77777777" w:rsidR="0091741E" w:rsidRPr="0091741E" w:rsidRDefault="0091741E" w:rsidP="0091741E">
      <w:pPr>
        <w:autoSpaceDE w:val="0"/>
        <w:autoSpaceDN w:val="0"/>
        <w:adjustRightInd w:val="0"/>
        <w:spacing w:after="0" w:line="240" w:lineRule="auto"/>
        <w:ind w:firstLine="709"/>
        <w:jc w:val="both"/>
        <w:rPr>
          <w:rFonts w:ascii="Times New Roman" w:hAnsi="Times New Roman" w:cs="Times New Roman"/>
          <w:sz w:val="24"/>
          <w:szCs w:val="24"/>
        </w:rPr>
      </w:pPr>
      <w:r w:rsidRPr="0091741E">
        <w:rPr>
          <w:rFonts w:ascii="Times New Roman" w:hAnsi="Times New Roman" w:cs="Times New Roman"/>
          <w:sz w:val="24"/>
          <w:szCs w:val="24"/>
        </w:rPr>
        <w:t>Furthermore, the effectiveness of the 3CM model can also be explained through the constructivist learning perspective, where students actively build knowledge through interaction, exploration, and reflection. In the learning process, students were encouraged to analyze matrix-related problems collaboratively, communicate their reasoning, and evaluate alternative solutions critically. Such learning conditions provide opportunities for students to develop metacognitive awareness, particularly in monitoring and evaluating their own thinking processes. This finding aligns with previous studies indicating that student-centered learning environments significantly contribute to the development of higher-order thinking skills, especially when learners are actively involved in inquiry-based and reflective activities. The enjoyable and meaningful learning atmosphere promoted by the 3CM model also increases students’ motivation and confidence in expressing ideas, which ultimately supports the improvement of critical thinking performance.</w:t>
      </w:r>
    </w:p>
    <w:p w14:paraId="1F5E147C" w14:textId="77777777" w:rsidR="0091741E" w:rsidRPr="0091741E" w:rsidRDefault="0091741E" w:rsidP="0091741E">
      <w:pPr>
        <w:autoSpaceDE w:val="0"/>
        <w:autoSpaceDN w:val="0"/>
        <w:adjustRightInd w:val="0"/>
        <w:spacing w:after="0" w:line="240" w:lineRule="auto"/>
        <w:ind w:firstLine="709"/>
        <w:jc w:val="both"/>
        <w:rPr>
          <w:rFonts w:ascii="Times New Roman" w:hAnsi="Times New Roman" w:cs="Times New Roman"/>
          <w:sz w:val="24"/>
          <w:szCs w:val="24"/>
        </w:rPr>
      </w:pPr>
      <w:r w:rsidRPr="0091741E">
        <w:rPr>
          <w:rFonts w:ascii="Times New Roman" w:hAnsi="Times New Roman" w:cs="Times New Roman"/>
          <w:sz w:val="24"/>
          <w:szCs w:val="24"/>
        </w:rPr>
        <w:t>In addition, the findings of this study imply that mathematics instruction should no longer focus solely on procedural mastery but should also facilitate students in developing analytical and evaluative thinking skills. The implementation of the 3CM model demonstrates that innovative instructional approaches can transform abstract mathematical concepts, such as matrices, into more contextual and understandable learning experiences. Through meaningful engagement and creative problem-solving activities, students become more capable of connecting mathematical concepts with real-life situations. Therefore, teachers are encouraged to integrate learning models that emphasize critical, creative, and meaningful learning experiences into classroom practice. Such efforts are expected not only to improve academic achievement but also to prepare students with essential competencies needed to face future educational and societal challenges.</w:t>
      </w:r>
    </w:p>
    <w:p w14:paraId="6D7A4CAE" w14:textId="77777777" w:rsidR="00B10C68" w:rsidRDefault="00B10C68">
      <w:pPr>
        <w:spacing w:after="0" w:line="240" w:lineRule="auto"/>
        <w:ind w:right="69"/>
        <w:jc w:val="center"/>
        <w:rPr>
          <w:rFonts w:ascii="Times New Roman" w:eastAsia="Times New Roman" w:hAnsi="Times New Roman" w:cs="Times New Roman"/>
          <w:b/>
          <w:color w:val="000000"/>
          <w:sz w:val="20"/>
          <w:szCs w:val="20"/>
        </w:rPr>
      </w:pPr>
    </w:p>
    <w:p w14:paraId="445499E0" w14:textId="77777777" w:rsidR="0091741E" w:rsidRDefault="0091741E">
      <w:pPr>
        <w:spacing w:after="0" w:line="240" w:lineRule="auto"/>
        <w:ind w:right="69"/>
        <w:jc w:val="center"/>
        <w:rPr>
          <w:rFonts w:ascii="Times New Roman" w:eastAsia="Times New Roman" w:hAnsi="Times New Roman" w:cs="Times New Roman"/>
          <w:b/>
          <w:color w:val="000000"/>
          <w:sz w:val="20"/>
          <w:szCs w:val="20"/>
        </w:rPr>
      </w:pPr>
    </w:p>
    <w:p w14:paraId="07DCA214" w14:textId="77777777" w:rsidR="00B10C68" w:rsidRDefault="00000000">
      <w:pPr>
        <w:pStyle w:val="Heading1"/>
        <w:spacing w:before="0"/>
        <w:rPr>
          <w:color w:val="7030A0"/>
          <w:sz w:val="26"/>
          <w:szCs w:val="26"/>
        </w:rPr>
      </w:pPr>
      <w:r>
        <w:rPr>
          <w:color w:val="7030A0"/>
          <w:sz w:val="26"/>
          <w:szCs w:val="26"/>
        </w:rPr>
        <w:t>CONCLUSION</w:t>
      </w:r>
    </w:p>
    <w:p w14:paraId="36429E47" w14:textId="77777777" w:rsidR="00B10C68"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research findings, it can be concluded that the instruments used to measure students' critical thinking skills have met the requirements for validity and reliability, making them suitable for data collection. The data obtained were also normally distributed and demonstrated a significant linear relationship between the independent and dependent variables, thereby allowing the use of a linear regression model. The regression results indicated that the implementation of the 3CM learning model had a positive and significant effect on the improvement of students' critical thinking skills, contributing 27.7%. The increase in pretest to posttest scores across all aspects of critical thinking suggests that the model is effective in stimulating deeper thinking skills, particularly in aspects that were previously </w:t>
      </w:r>
      <w:r>
        <w:rPr>
          <w:rFonts w:ascii="Times New Roman" w:eastAsia="Times New Roman" w:hAnsi="Times New Roman" w:cs="Times New Roman"/>
          <w:sz w:val="24"/>
          <w:szCs w:val="24"/>
        </w:rPr>
        <w:lastRenderedPageBreak/>
        <w:t>lower. The implication of these findings is that teachers may consider adopting the 3CM model as an innovative instructional approach that not only enhances students' emotional and creative engagement but also significantly improves critical thinking skillsan essential competence in addressing the challenges of 21st-century learning</w:t>
      </w:r>
    </w:p>
    <w:p w14:paraId="34BEC86F" w14:textId="77777777" w:rsidR="00B10C68" w:rsidRDefault="00B10C68">
      <w:pPr>
        <w:pStyle w:val="Heading1"/>
        <w:spacing w:before="0"/>
        <w:rPr>
          <w:color w:val="7030A0"/>
          <w:sz w:val="26"/>
          <w:szCs w:val="26"/>
        </w:rPr>
      </w:pPr>
    </w:p>
    <w:p w14:paraId="161C1E79" w14:textId="77777777" w:rsidR="00B10C68" w:rsidRDefault="00000000">
      <w:pPr>
        <w:pStyle w:val="Heading1"/>
        <w:spacing w:before="0"/>
        <w:jc w:val="both"/>
        <w:rPr>
          <w:color w:val="7030A0"/>
          <w:sz w:val="26"/>
          <w:szCs w:val="26"/>
        </w:rPr>
      </w:pPr>
      <w:r>
        <w:rPr>
          <w:color w:val="7030A0"/>
          <w:sz w:val="26"/>
          <w:szCs w:val="26"/>
        </w:rPr>
        <w:t xml:space="preserve">Conflict of Interest </w:t>
      </w:r>
    </w:p>
    <w:p w14:paraId="4FC9BAC2" w14:textId="77777777" w:rsidR="00B10C68"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authors declare no conflict of interest.</w:t>
      </w:r>
    </w:p>
    <w:p w14:paraId="090E842A" w14:textId="77777777" w:rsidR="00B10C68" w:rsidRDefault="00B10C6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CF0F103" w14:textId="77777777" w:rsidR="00B10C68" w:rsidRDefault="00000000">
      <w:pPr>
        <w:pStyle w:val="Heading1"/>
        <w:spacing w:before="0"/>
        <w:jc w:val="both"/>
        <w:rPr>
          <w:color w:val="7030A0"/>
          <w:sz w:val="26"/>
          <w:szCs w:val="26"/>
        </w:rPr>
      </w:pPr>
      <w:r>
        <w:rPr>
          <w:color w:val="7030A0"/>
          <w:sz w:val="26"/>
          <w:szCs w:val="26"/>
        </w:rPr>
        <w:t xml:space="preserve">ACKNOWLEDGEMENT </w:t>
      </w:r>
    </w:p>
    <w:p w14:paraId="125ACAF2" w14:textId="77777777" w:rsidR="00B10C68" w:rsidRDefault="0000000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 would like to thank all parties who have helped in carrying out this research and compiling this article.</w:t>
      </w:r>
    </w:p>
    <w:p w14:paraId="40286B00" w14:textId="77777777" w:rsidR="00B10C68" w:rsidRDefault="00B10C68">
      <w:pPr>
        <w:spacing w:after="0" w:line="240" w:lineRule="auto"/>
        <w:jc w:val="both"/>
        <w:rPr>
          <w:rFonts w:ascii="Times New Roman" w:eastAsia="Times New Roman" w:hAnsi="Times New Roman" w:cs="Times New Roman"/>
        </w:rPr>
      </w:pPr>
    </w:p>
    <w:p w14:paraId="699DA49B" w14:textId="77777777" w:rsidR="00B10C68" w:rsidRDefault="00000000">
      <w:pPr>
        <w:pStyle w:val="Heading1"/>
        <w:spacing w:before="0"/>
        <w:rPr>
          <w:color w:val="7030A0"/>
          <w:sz w:val="26"/>
          <w:szCs w:val="26"/>
        </w:rPr>
      </w:pPr>
      <w:r>
        <w:rPr>
          <w:color w:val="7030A0"/>
          <w:sz w:val="26"/>
          <w:szCs w:val="26"/>
        </w:rPr>
        <w:t>References</w:t>
      </w:r>
    </w:p>
    <w:p w14:paraId="5FC0C4B2"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tab/>
        <w:t xml:space="preserve">A. J. Y. Tan, J. L. Davies, R. I. Nicolson, and T. Karaminis, “Learning critical thinking skills online: can precision teaching help?,” </w:t>
      </w:r>
      <w:r>
        <w:rPr>
          <w:rFonts w:ascii="Times New Roman" w:hAnsi="Times New Roman" w:cs="Times New Roman"/>
          <w:i/>
          <w:iCs/>
          <w:noProof/>
          <w:sz w:val="24"/>
          <w:szCs w:val="24"/>
        </w:rPr>
        <w:t>Educ. Technol. Res. Dev.</w:t>
      </w:r>
      <w:r>
        <w:rPr>
          <w:rFonts w:ascii="Times New Roman" w:hAnsi="Times New Roman" w:cs="Times New Roman"/>
          <w:noProof/>
          <w:sz w:val="24"/>
          <w:szCs w:val="24"/>
        </w:rPr>
        <w:t>, vol. 71, no. 3, pp. 1275–1296, 2023, doi: 10.1007/s11423-023-10227-y.</w:t>
      </w:r>
    </w:p>
    <w:p w14:paraId="0146BA35"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[2]</w:t>
      </w:r>
      <w:r>
        <w:rPr>
          <w:rFonts w:ascii="Times New Roman" w:hAnsi="Times New Roman" w:cs="Times New Roman"/>
          <w:noProof/>
          <w:sz w:val="24"/>
          <w:szCs w:val="24"/>
        </w:rPr>
        <w:tab/>
        <w:t xml:space="preserve">D. H. Siswanto, Kintoko, and M. M. E. Susetyawati, “Systematic Literature Review: Realistic Mathematics Education Approach for Enhancing Junior High Students’ Critical Thinking Skills,” </w:t>
      </w:r>
      <w:r>
        <w:rPr>
          <w:rFonts w:ascii="Times New Roman" w:hAnsi="Times New Roman" w:cs="Times New Roman"/>
          <w:i/>
          <w:iCs/>
          <w:noProof/>
          <w:sz w:val="24"/>
          <w:szCs w:val="24"/>
        </w:rPr>
        <w:t>Indo-MathEdu Intellectuals J.</w:t>
      </w:r>
      <w:r>
        <w:rPr>
          <w:rFonts w:ascii="Times New Roman" w:hAnsi="Times New Roman" w:cs="Times New Roman"/>
          <w:noProof/>
          <w:sz w:val="24"/>
          <w:szCs w:val="24"/>
        </w:rPr>
        <w:t>, vol. 6, no. 3, pp. 2772–2787, 2025, doi: 10.54373/imeij.v6i3.2900.</w:t>
      </w:r>
    </w:p>
    <w:p w14:paraId="1162390E"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D11FA3">
        <w:rPr>
          <w:rFonts w:ascii="Times New Roman" w:hAnsi="Times New Roman" w:cs="Times New Roman"/>
          <w:noProof/>
          <w:sz w:val="24"/>
          <w:szCs w:val="24"/>
          <w:lang w:val="fi-FI"/>
        </w:rPr>
        <w:t>[3]</w:t>
      </w:r>
      <w:r w:rsidRPr="00D11FA3">
        <w:rPr>
          <w:rFonts w:ascii="Times New Roman" w:hAnsi="Times New Roman" w:cs="Times New Roman"/>
          <w:noProof/>
          <w:sz w:val="24"/>
          <w:szCs w:val="24"/>
          <w:lang w:val="fi-FI"/>
        </w:rPr>
        <w:tab/>
        <w:t xml:space="preserve">B. P. Khairani and K. Kartini, “Analisis kesalahan siswa kelas XI SMA pada materi matriks,” </w:t>
      </w:r>
      <w:r w:rsidRPr="00D11FA3">
        <w:rPr>
          <w:rFonts w:ascii="Times New Roman" w:hAnsi="Times New Roman" w:cs="Times New Roman"/>
          <w:i/>
          <w:iCs/>
          <w:noProof/>
          <w:sz w:val="24"/>
          <w:szCs w:val="24"/>
          <w:lang w:val="fi-FI"/>
        </w:rPr>
        <w:t xml:space="preserve">Mosharafa J. Pendidik. </w:t>
      </w:r>
      <w:r>
        <w:rPr>
          <w:rFonts w:ascii="Times New Roman" w:hAnsi="Times New Roman" w:cs="Times New Roman"/>
          <w:i/>
          <w:iCs/>
          <w:noProof/>
          <w:sz w:val="24"/>
          <w:szCs w:val="24"/>
        </w:rPr>
        <w:t>Mat.</w:t>
      </w:r>
      <w:r>
        <w:rPr>
          <w:rFonts w:ascii="Times New Roman" w:hAnsi="Times New Roman" w:cs="Times New Roman"/>
          <w:noProof/>
          <w:sz w:val="24"/>
          <w:szCs w:val="24"/>
        </w:rPr>
        <w:t>, vol. 10, no. 3, pp. 505–514, 2021, doi: 10.31980/mosharafa.v10i3.981.</w:t>
      </w:r>
    </w:p>
    <w:p w14:paraId="0033919A"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[4]</w:t>
      </w:r>
      <w:r>
        <w:rPr>
          <w:rFonts w:ascii="Times New Roman" w:hAnsi="Times New Roman" w:cs="Times New Roman"/>
          <w:noProof/>
          <w:sz w:val="24"/>
          <w:szCs w:val="24"/>
        </w:rPr>
        <w:tab/>
        <w:t xml:space="preserve">D. H. Siswanto, “The impact of a collaborative problem-based learning on performance in inverse matrix learning, critical thinking skills, and student anxiety,” </w:t>
      </w:r>
      <w:r>
        <w:rPr>
          <w:rFonts w:ascii="Times New Roman" w:hAnsi="Times New Roman" w:cs="Times New Roman"/>
          <w:i/>
          <w:iCs/>
          <w:noProof/>
          <w:sz w:val="24"/>
          <w:szCs w:val="24"/>
        </w:rPr>
        <w:t>Contemp. Educ. Community Engagem.</w:t>
      </w:r>
      <w:r>
        <w:rPr>
          <w:rFonts w:ascii="Times New Roman" w:hAnsi="Times New Roman" w:cs="Times New Roman"/>
          <w:noProof/>
          <w:sz w:val="24"/>
          <w:szCs w:val="24"/>
        </w:rPr>
        <w:t>, vol. 1, no. 2, pp. 1–11, 2025, doi: 10.12928/cece.v1i2.1034.</w:t>
      </w:r>
    </w:p>
    <w:p w14:paraId="556572CF"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[5]</w:t>
      </w:r>
      <w:r>
        <w:rPr>
          <w:rFonts w:ascii="Times New Roman" w:hAnsi="Times New Roman" w:cs="Times New Roman"/>
          <w:noProof/>
          <w:sz w:val="24"/>
          <w:szCs w:val="24"/>
        </w:rPr>
        <w:tab/>
        <w:t xml:space="preserve">R. Purwasih, Turmudi, and J. A. Dahlan, “How do you solve number pattern problems through mathematical semiotics analysis and computational thinking?,” </w:t>
      </w:r>
      <w:r>
        <w:rPr>
          <w:rFonts w:ascii="Times New Roman" w:hAnsi="Times New Roman" w:cs="Times New Roman"/>
          <w:i/>
          <w:iCs/>
          <w:noProof/>
          <w:sz w:val="24"/>
          <w:szCs w:val="24"/>
        </w:rPr>
        <w:t>J. Math. Educ.</w:t>
      </w:r>
      <w:r>
        <w:rPr>
          <w:rFonts w:ascii="Times New Roman" w:hAnsi="Times New Roman" w:cs="Times New Roman"/>
          <w:noProof/>
          <w:sz w:val="24"/>
          <w:szCs w:val="24"/>
        </w:rPr>
        <w:t>, vol. 15, no. 2, pp. 403–430, 2024, doi: 10.22342/jme.v15i2.pp403-430.</w:t>
      </w:r>
    </w:p>
    <w:p w14:paraId="2FF257B1"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[6]</w:t>
      </w:r>
      <w:r>
        <w:rPr>
          <w:rFonts w:ascii="Times New Roman" w:hAnsi="Times New Roman" w:cs="Times New Roman"/>
          <w:noProof/>
          <w:sz w:val="24"/>
          <w:szCs w:val="24"/>
        </w:rPr>
        <w:tab/>
        <w:t xml:space="preserve">S. Mahanal, S. Zubaidah, D. Setiawan, H. Maghfiroh, and F. G. Muhaimin, “Empowering college students’ Problem-Solving skills through RICOSRE,” </w:t>
      </w:r>
      <w:r>
        <w:rPr>
          <w:rFonts w:ascii="Times New Roman" w:hAnsi="Times New Roman" w:cs="Times New Roman"/>
          <w:i/>
          <w:iCs/>
          <w:noProof/>
          <w:sz w:val="24"/>
          <w:szCs w:val="24"/>
        </w:rPr>
        <w:t>Educ. Sci.</w:t>
      </w:r>
      <w:r>
        <w:rPr>
          <w:rFonts w:ascii="Times New Roman" w:hAnsi="Times New Roman" w:cs="Times New Roman"/>
          <w:noProof/>
          <w:sz w:val="24"/>
          <w:szCs w:val="24"/>
        </w:rPr>
        <w:t>, vol. 12, no. 3, pp. 1–17, 2022, doi: 10.3390/educsci12030196.</w:t>
      </w:r>
    </w:p>
    <w:p w14:paraId="7F1ADB5E"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[7]</w:t>
      </w:r>
      <w:r>
        <w:rPr>
          <w:rFonts w:ascii="Times New Roman" w:hAnsi="Times New Roman" w:cs="Times New Roman"/>
          <w:noProof/>
          <w:sz w:val="24"/>
          <w:szCs w:val="24"/>
        </w:rPr>
        <w:tab/>
        <w:t xml:space="preserve">C. S. Adigwe, A. I. Abalaka, O. O. Olaniyi, O. O. Adebiyi, and T. O. Oladoyinbo, “Critical analysis of innovative leadership through effective data analytics: exploring trends in business analysis, finance, marketing, and information technology,” </w:t>
      </w:r>
      <w:r>
        <w:rPr>
          <w:rFonts w:ascii="Times New Roman" w:hAnsi="Times New Roman" w:cs="Times New Roman"/>
          <w:i/>
          <w:iCs/>
          <w:noProof/>
          <w:sz w:val="24"/>
          <w:szCs w:val="24"/>
        </w:rPr>
        <w:t>Asian J. Econ. Bus. Account.</w:t>
      </w:r>
      <w:r>
        <w:rPr>
          <w:rFonts w:ascii="Times New Roman" w:hAnsi="Times New Roman" w:cs="Times New Roman"/>
          <w:noProof/>
          <w:sz w:val="24"/>
          <w:szCs w:val="24"/>
        </w:rPr>
        <w:t>, vol. 23, no. 22, pp. 460–479, 2023, doi: 10.9734/AJEBA/2023/v23i221165.</w:t>
      </w:r>
    </w:p>
    <w:p w14:paraId="445E9C96"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[8]</w:t>
      </w:r>
      <w:r>
        <w:rPr>
          <w:rFonts w:ascii="Times New Roman" w:hAnsi="Times New Roman" w:cs="Times New Roman"/>
          <w:noProof/>
          <w:sz w:val="24"/>
          <w:szCs w:val="24"/>
        </w:rPr>
        <w:tab/>
        <w:t xml:space="preserve">N. F. Aristin and A. Purnomo, “Improving critical thinking skill through team-based projects, is it effective?,” </w:t>
      </w:r>
      <w:r>
        <w:rPr>
          <w:rFonts w:ascii="Times New Roman" w:hAnsi="Times New Roman" w:cs="Times New Roman"/>
          <w:i/>
          <w:iCs/>
          <w:noProof/>
          <w:sz w:val="24"/>
          <w:szCs w:val="24"/>
        </w:rPr>
        <w:t>J. Educ. Res. Eval.</w:t>
      </w:r>
      <w:r>
        <w:rPr>
          <w:rFonts w:ascii="Times New Roman" w:hAnsi="Times New Roman" w:cs="Times New Roman"/>
          <w:noProof/>
          <w:sz w:val="24"/>
          <w:szCs w:val="24"/>
        </w:rPr>
        <w:t>, vol. 6, no. 4, pp. 586–594, 2022, doi: 10.23887/jere.v6i4.48090.</w:t>
      </w:r>
    </w:p>
    <w:p w14:paraId="7CA9EEA5"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[9]</w:t>
      </w:r>
      <w:r>
        <w:rPr>
          <w:rFonts w:ascii="Times New Roman" w:hAnsi="Times New Roman" w:cs="Times New Roman"/>
          <w:noProof/>
          <w:sz w:val="24"/>
          <w:szCs w:val="24"/>
        </w:rPr>
        <w:tab/>
        <w:t xml:space="preserve">T. M. Rizti and E. Prihatnani, “Efektivitas model pembelajaran 3CM (Cool-Critical-Creative-Meaningfull) terhadap Kemampuan berpikir kritis siswa SMP,” </w:t>
      </w:r>
      <w:r>
        <w:rPr>
          <w:rFonts w:ascii="Times New Roman" w:hAnsi="Times New Roman" w:cs="Times New Roman"/>
          <w:i/>
          <w:iCs/>
          <w:noProof/>
          <w:sz w:val="24"/>
          <w:szCs w:val="24"/>
        </w:rPr>
        <w:t>Mosharafa J. Pendidik. Mat.</w:t>
      </w:r>
      <w:r>
        <w:rPr>
          <w:rFonts w:ascii="Times New Roman" w:hAnsi="Times New Roman" w:cs="Times New Roman"/>
          <w:noProof/>
          <w:sz w:val="24"/>
          <w:szCs w:val="24"/>
        </w:rPr>
        <w:t>, vol. 10, no. 2, pp. 213–224, 2021, doi: 10.31980/mosharafa.v10i2.945.</w:t>
      </w:r>
    </w:p>
    <w:p w14:paraId="1E352D13"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[10]</w:t>
      </w:r>
      <w:r>
        <w:rPr>
          <w:rFonts w:ascii="Times New Roman" w:hAnsi="Times New Roman" w:cs="Times New Roman"/>
          <w:noProof/>
          <w:sz w:val="24"/>
          <w:szCs w:val="24"/>
        </w:rPr>
        <w:tab/>
        <w:t xml:space="preserve">E. Lestari, A. Siregar, A. K. Hidayat, and A. A. Yusuf, “Stunting and its association with education and cognitive outcomes in adulthood: A longitudinal study in Indonesia,” </w:t>
      </w:r>
      <w:r>
        <w:rPr>
          <w:rFonts w:ascii="Times New Roman" w:hAnsi="Times New Roman" w:cs="Times New Roman"/>
          <w:i/>
          <w:iCs/>
          <w:noProof/>
          <w:sz w:val="24"/>
          <w:szCs w:val="24"/>
        </w:rPr>
        <w:t>PLoS One</w:t>
      </w:r>
      <w:r>
        <w:rPr>
          <w:rFonts w:ascii="Times New Roman" w:hAnsi="Times New Roman" w:cs="Times New Roman"/>
          <w:noProof/>
          <w:sz w:val="24"/>
          <w:szCs w:val="24"/>
        </w:rPr>
        <w:t>, vol. 19, no. 5, pp. 1–18, 2024.</w:t>
      </w:r>
    </w:p>
    <w:p w14:paraId="790EF290"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91741E">
        <w:rPr>
          <w:rFonts w:ascii="Times New Roman" w:hAnsi="Times New Roman" w:cs="Times New Roman"/>
          <w:noProof/>
          <w:sz w:val="24"/>
          <w:szCs w:val="24"/>
          <w:lang w:val="sv-FI"/>
        </w:rPr>
        <w:t>[11]</w:t>
      </w:r>
      <w:r w:rsidRPr="0091741E">
        <w:rPr>
          <w:rFonts w:ascii="Times New Roman" w:hAnsi="Times New Roman" w:cs="Times New Roman"/>
          <w:noProof/>
          <w:sz w:val="24"/>
          <w:szCs w:val="24"/>
          <w:lang w:val="sv-FI"/>
        </w:rPr>
        <w:tab/>
        <w:t xml:space="preserve">D. H. Siswanto, Kintoko, and Tarso, “Efektivitas musik klasik dalam mengurangi kecemasan matematika murid,” </w:t>
      </w:r>
      <w:r w:rsidRPr="0091741E">
        <w:rPr>
          <w:rFonts w:ascii="Times New Roman" w:hAnsi="Times New Roman" w:cs="Times New Roman"/>
          <w:i/>
          <w:iCs/>
          <w:noProof/>
          <w:sz w:val="24"/>
          <w:szCs w:val="24"/>
          <w:lang w:val="sv-FI"/>
        </w:rPr>
        <w:t xml:space="preserve">J. Ilm. </w:t>
      </w:r>
      <w:r>
        <w:rPr>
          <w:rFonts w:ascii="Times New Roman" w:hAnsi="Times New Roman" w:cs="Times New Roman"/>
          <w:i/>
          <w:iCs/>
          <w:noProof/>
          <w:sz w:val="24"/>
          <w:szCs w:val="24"/>
        </w:rPr>
        <w:t>Multidisiplin Ilmu</w:t>
      </w:r>
      <w:r>
        <w:rPr>
          <w:rFonts w:ascii="Times New Roman" w:hAnsi="Times New Roman" w:cs="Times New Roman"/>
          <w:noProof/>
          <w:sz w:val="24"/>
          <w:szCs w:val="24"/>
        </w:rPr>
        <w:t>, vol. 2, no. 2, pp. 105–112, 2025, doi: 10.69714/t476vs25.</w:t>
      </w:r>
    </w:p>
    <w:p w14:paraId="4D7C7526"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lastRenderedPageBreak/>
        <w:t>[12]</w:t>
      </w:r>
      <w:r>
        <w:rPr>
          <w:rFonts w:ascii="Times New Roman" w:hAnsi="Times New Roman" w:cs="Times New Roman"/>
          <w:noProof/>
          <w:sz w:val="24"/>
          <w:szCs w:val="24"/>
        </w:rPr>
        <w:tab/>
        <w:t xml:space="preserve">Wahyudi, S. B. Waluya, H. Suyitno, and Isnarto, “Development of 3CM (Cool-Critical-Creative-Meaningful) learning model to increase creative thinking skill,” </w:t>
      </w:r>
      <w:r>
        <w:rPr>
          <w:rFonts w:ascii="Times New Roman" w:hAnsi="Times New Roman" w:cs="Times New Roman"/>
          <w:i/>
          <w:iCs/>
          <w:noProof/>
          <w:sz w:val="24"/>
          <w:szCs w:val="24"/>
        </w:rPr>
        <w:t>J. Phys. Conf. Ser.</w:t>
      </w:r>
      <w:r>
        <w:rPr>
          <w:rFonts w:ascii="Times New Roman" w:hAnsi="Times New Roman" w:cs="Times New Roman"/>
          <w:noProof/>
          <w:sz w:val="24"/>
          <w:szCs w:val="24"/>
        </w:rPr>
        <w:t>, vol. 1321, no. 2, pp. 0–9, 2019, doi: 10.1088/1742-6596/1321/2/022063.</w:t>
      </w:r>
    </w:p>
    <w:p w14:paraId="3AA70FF1"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[13]</w:t>
      </w:r>
      <w:r>
        <w:rPr>
          <w:rFonts w:ascii="Times New Roman" w:hAnsi="Times New Roman" w:cs="Times New Roman"/>
          <w:noProof/>
          <w:sz w:val="24"/>
          <w:szCs w:val="24"/>
        </w:rPr>
        <w:tab/>
        <w:t xml:space="preserve">H. S. Abidah, E. Prihatnani, and A. Info, “The experiment of 3CM learning model on the creative thinking ability of Junior High School students in Salatiga Indonesia,” </w:t>
      </w:r>
      <w:r>
        <w:rPr>
          <w:rFonts w:ascii="Times New Roman" w:hAnsi="Times New Roman" w:cs="Times New Roman"/>
          <w:i/>
          <w:iCs/>
          <w:noProof/>
          <w:sz w:val="24"/>
          <w:szCs w:val="24"/>
        </w:rPr>
        <w:t>Sch. J. Pendidik. dan Kebud.</w:t>
      </w:r>
      <w:r>
        <w:rPr>
          <w:rFonts w:ascii="Times New Roman" w:hAnsi="Times New Roman" w:cs="Times New Roman"/>
          <w:noProof/>
          <w:sz w:val="24"/>
          <w:szCs w:val="24"/>
        </w:rPr>
        <w:t>, vol. 13, no. 3, pp. 250–262, 2023.</w:t>
      </w:r>
    </w:p>
    <w:p w14:paraId="361B61ED"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[14]</w:t>
      </w:r>
      <w:r>
        <w:rPr>
          <w:rFonts w:ascii="Times New Roman" w:hAnsi="Times New Roman" w:cs="Times New Roman"/>
          <w:noProof/>
          <w:sz w:val="24"/>
          <w:szCs w:val="24"/>
        </w:rPr>
        <w:tab/>
        <w:t xml:space="preserve">A. Aprioda, C. Utami, and N. Husna, “Pengaruh model pembelajaran 3CM (Cool-Critical-Creative-Meaningfull) terhadap kemampuan berpikir kritis siswa kelas VIII,” </w:t>
      </w:r>
      <w:r>
        <w:rPr>
          <w:rFonts w:ascii="Times New Roman" w:hAnsi="Times New Roman" w:cs="Times New Roman"/>
          <w:i/>
          <w:iCs/>
          <w:noProof/>
          <w:sz w:val="24"/>
          <w:szCs w:val="24"/>
        </w:rPr>
        <w:t>JPMI (Jurnal Pembelajaran Mat. Inov.</w:t>
      </w:r>
      <w:r>
        <w:rPr>
          <w:rFonts w:ascii="Times New Roman" w:hAnsi="Times New Roman" w:cs="Times New Roman"/>
          <w:noProof/>
          <w:sz w:val="24"/>
          <w:szCs w:val="24"/>
        </w:rPr>
        <w:t>, vol. 7, no. 3, pp. 459–468, 2024, doi: 10.22460/jpmi.v7i3.22222.</w:t>
      </w:r>
    </w:p>
    <w:p w14:paraId="53887E9D"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[15]</w:t>
      </w:r>
      <w:r>
        <w:rPr>
          <w:rFonts w:ascii="Times New Roman" w:hAnsi="Times New Roman" w:cs="Times New Roman"/>
          <w:noProof/>
          <w:sz w:val="24"/>
          <w:szCs w:val="24"/>
        </w:rPr>
        <w:tab/>
        <w:t xml:space="preserve">H. Wantoro, M. M. Afandi, and D. H. Siswanto, “Development of a Guided Discovery-Based scientific approach Mmdule for enhancing Problem-Solving Skills,” </w:t>
      </w:r>
      <w:r>
        <w:rPr>
          <w:rFonts w:ascii="Times New Roman" w:hAnsi="Times New Roman" w:cs="Times New Roman"/>
          <w:i/>
          <w:iCs/>
          <w:noProof/>
          <w:sz w:val="24"/>
          <w:szCs w:val="24"/>
        </w:rPr>
        <w:t>Contemp. Educ. Community Engagem.</w:t>
      </w:r>
      <w:r>
        <w:rPr>
          <w:rFonts w:ascii="Times New Roman" w:hAnsi="Times New Roman" w:cs="Times New Roman"/>
          <w:noProof/>
          <w:sz w:val="24"/>
          <w:szCs w:val="24"/>
        </w:rPr>
        <w:t>, vol. 1, no. 2, pp. 51–63, 2025, doi: 10.12928/cece.v1i2.1271.</w:t>
      </w:r>
    </w:p>
    <w:p w14:paraId="366E2BBF"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[16]</w:t>
      </w:r>
      <w:r>
        <w:rPr>
          <w:rFonts w:ascii="Times New Roman" w:hAnsi="Times New Roman" w:cs="Times New Roman"/>
          <w:noProof/>
          <w:sz w:val="24"/>
          <w:szCs w:val="24"/>
        </w:rPr>
        <w:tab/>
        <w:t xml:space="preserve">R. Efendi, D. H. Siswanto, and S. A. Saputra, “Deep Learning approach to teaching multiplication concepts using coin media: Classroom ction research in Elementary School,” </w:t>
      </w:r>
      <w:r>
        <w:rPr>
          <w:rFonts w:ascii="Times New Roman" w:hAnsi="Times New Roman" w:cs="Times New Roman"/>
          <w:i/>
          <w:iCs/>
          <w:noProof/>
          <w:sz w:val="24"/>
          <w:szCs w:val="24"/>
        </w:rPr>
        <w:t>J. Padamu Negeri</w:t>
      </w:r>
      <w:r>
        <w:rPr>
          <w:rFonts w:ascii="Times New Roman" w:hAnsi="Times New Roman" w:cs="Times New Roman"/>
          <w:noProof/>
          <w:sz w:val="24"/>
          <w:szCs w:val="24"/>
        </w:rPr>
        <w:t>, vol. 2, no. 2, pp. 87–97, 2025, doi: 10.69714/xaewmx28.</w:t>
      </w:r>
    </w:p>
    <w:p w14:paraId="3B9108A4"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[17]</w:t>
      </w:r>
      <w:r>
        <w:rPr>
          <w:rFonts w:ascii="Times New Roman" w:hAnsi="Times New Roman" w:cs="Times New Roman"/>
          <w:noProof/>
          <w:sz w:val="24"/>
          <w:szCs w:val="24"/>
        </w:rPr>
        <w:tab/>
        <w:t xml:space="preserve">N. A. Nurajijjah, T. Fatimah, and I. M. Pratiwi, “Pengaruh model pembelajaran 3CM dalam meningkatkan keterampilan berpikir kreatif siswa,” </w:t>
      </w:r>
      <w:r>
        <w:rPr>
          <w:rFonts w:ascii="Times New Roman" w:hAnsi="Times New Roman" w:cs="Times New Roman"/>
          <w:i/>
          <w:iCs/>
          <w:noProof/>
          <w:sz w:val="24"/>
          <w:szCs w:val="24"/>
        </w:rPr>
        <w:t>TADRUSUUN</w:t>
      </w:r>
      <w:r>
        <w:rPr>
          <w:rFonts w:ascii="Times New Roman" w:hAnsi="Times New Roman" w:cs="Times New Roman"/>
          <w:noProof/>
          <w:sz w:val="24"/>
          <w:szCs w:val="24"/>
        </w:rPr>
        <w:t>, vol. 3, no. 2, pp. 294–304, 2024.</w:t>
      </w:r>
    </w:p>
    <w:p w14:paraId="460555A4"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[18]</w:t>
      </w:r>
      <w:r>
        <w:rPr>
          <w:rFonts w:ascii="Times New Roman" w:hAnsi="Times New Roman" w:cs="Times New Roman"/>
          <w:noProof/>
          <w:sz w:val="24"/>
          <w:szCs w:val="24"/>
        </w:rPr>
        <w:tab/>
        <w:t xml:space="preserve">R. Ennis, “Critical Thinking: A Streamlined Conception,” </w:t>
      </w:r>
      <w:r>
        <w:rPr>
          <w:rFonts w:ascii="Times New Roman" w:hAnsi="Times New Roman" w:cs="Times New Roman"/>
          <w:i/>
          <w:iCs/>
          <w:noProof/>
          <w:sz w:val="24"/>
          <w:szCs w:val="24"/>
        </w:rPr>
        <w:t>Teach. Philos.</w:t>
      </w:r>
      <w:r>
        <w:rPr>
          <w:rFonts w:ascii="Times New Roman" w:hAnsi="Times New Roman" w:cs="Times New Roman"/>
          <w:noProof/>
          <w:sz w:val="24"/>
          <w:szCs w:val="24"/>
        </w:rPr>
        <w:t>, no. 14:1, pp. 5–24, 1991.</w:t>
      </w:r>
    </w:p>
    <w:p w14:paraId="55B35B27"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[19]</w:t>
      </w:r>
      <w:r>
        <w:rPr>
          <w:rFonts w:ascii="Times New Roman" w:hAnsi="Times New Roman" w:cs="Times New Roman"/>
          <w:noProof/>
          <w:sz w:val="24"/>
          <w:szCs w:val="24"/>
        </w:rPr>
        <w:tab/>
        <w:t xml:space="preserve">M. R. Ariza, A. Quesada Armenteros, and A. Estepa Castro, “Promoting critical thinking through mathematics and science teacher education: the case of argumentation and graphs interpretation about climate change,” </w:t>
      </w:r>
      <w:r>
        <w:rPr>
          <w:rFonts w:ascii="Times New Roman" w:hAnsi="Times New Roman" w:cs="Times New Roman"/>
          <w:i/>
          <w:iCs/>
          <w:noProof/>
          <w:sz w:val="24"/>
          <w:szCs w:val="24"/>
        </w:rPr>
        <w:t>Eur. J. Teach. Educ.</w:t>
      </w:r>
      <w:r>
        <w:rPr>
          <w:rFonts w:ascii="Times New Roman" w:hAnsi="Times New Roman" w:cs="Times New Roman"/>
          <w:noProof/>
          <w:sz w:val="24"/>
          <w:szCs w:val="24"/>
        </w:rPr>
        <w:t>, vol. 47, no. 1, pp. 41–59, 2021, doi: 10.1080/02619768.2021.1961736.</w:t>
      </w:r>
    </w:p>
    <w:p w14:paraId="5CBCDA8E"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[20]</w:t>
      </w:r>
      <w:r>
        <w:rPr>
          <w:rFonts w:ascii="Times New Roman" w:hAnsi="Times New Roman" w:cs="Times New Roman"/>
          <w:noProof/>
          <w:sz w:val="24"/>
          <w:szCs w:val="24"/>
        </w:rPr>
        <w:tab/>
        <w:t xml:space="preserve">K. Adhelacahya, S. Sukarmin, and S. Sarwanto, “Impact of Problem-Based Learning electronics module integrated with STEM on students’ critical thinking skills,” </w:t>
      </w:r>
      <w:r>
        <w:rPr>
          <w:rFonts w:ascii="Times New Roman" w:hAnsi="Times New Roman" w:cs="Times New Roman"/>
          <w:i/>
          <w:iCs/>
          <w:noProof/>
          <w:sz w:val="24"/>
          <w:szCs w:val="24"/>
        </w:rPr>
        <w:t>J. Penelit. Pendidik. IPA</w:t>
      </w:r>
      <w:r>
        <w:rPr>
          <w:rFonts w:ascii="Times New Roman" w:hAnsi="Times New Roman" w:cs="Times New Roman"/>
          <w:noProof/>
          <w:sz w:val="24"/>
          <w:szCs w:val="24"/>
        </w:rPr>
        <w:t>, vol. 9, no. 7, pp. 4869–4878, 2023, doi: 10.29303/jppipa.v9i7.3931.</w:t>
      </w:r>
    </w:p>
    <w:p w14:paraId="54196F4C"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[21]</w:t>
      </w:r>
      <w:r>
        <w:rPr>
          <w:rFonts w:ascii="Times New Roman" w:hAnsi="Times New Roman" w:cs="Times New Roman"/>
          <w:noProof/>
          <w:sz w:val="24"/>
          <w:szCs w:val="24"/>
        </w:rPr>
        <w:tab/>
        <w:t xml:space="preserve">Kintoko and D. H. Siswanto, “Effectiveness of the Cool-Critical-Creative-Meaningful (3CM) Learning Model on Enhancing Students’ Critical Thinking Skills,” </w:t>
      </w:r>
      <w:r>
        <w:rPr>
          <w:rFonts w:ascii="Times New Roman" w:hAnsi="Times New Roman" w:cs="Times New Roman"/>
          <w:i/>
          <w:iCs/>
          <w:noProof/>
          <w:sz w:val="24"/>
          <w:szCs w:val="24"/>
        </w:rPr>
        <w:t>J. Mercumatika J. Penelit. Mat. dan Pendidik. Mat.</w:t>
      </w:r>
      <w:r>
        <w:rPr>
          <w:rFonts w:ascii="Times New Roman" w:hAnsi="Times New Roman" w:cs="Times New Roman"/>
          <w:noProof/>
          <w:sz w:val="24"/>
          <w:szCs w:val="24"/>
        </w:rPr>
        <w:t>, vol. 9, no. 1, pp. 23–29, 2024, doi: 10.26486/jm.v9i1.4522.</w:t>
      </w:r>
    </w:p>
    <w:p w14:paraId="6ECF9E28"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[22]</w:t>
      </w:r>
      <w:r>
        <w:rPr>
          <w:rFonts w:ascii="Times New Roman" w:hAnsi="Times New Roman" w:cs="Times New Roman"/>
          <w:noProof/>
          <w:sz w:val="24"/>
          <w:szCs w:val="24"/>
        </w:rPr>
        <w:tab/>
        <w:t xml:space="preserve">W. Wahyudi, D. Kusuma, E. Prihatnani, T. Nova Hasti Yunianta, and N. F. Amin, “Development of blended learning activities based on 3CM (Cool-Critical-Creative-Meaningful) to support creativity and good character students,” </w:t>
      </w:r>
      <w:r>
        <w:rPr>
          <w:rFonts w:ascii="Times New Roman" w:hAnsi="Times New Roman" w:cs="Times New Roman"/>
          <w:i/>
          <w:iCs/>
          <w:noProof/>
          <w:sz w:val="24"/>
          <w:szCs w:val="24"/>
        </w:rPr>
        <w:t>J. Nonform. Educ.</w:t>
      </w:r>
      <w:r>
        <w:rPr>
          <w:rFonts w:ascii="Times New Roman" w:hAnsi="Times New Roman" w:cs="Times New Roman"/>
          <w:noProof/>
          <w:sz w:val="24"/>
          <w:szCs w:val="24"/>
        </w:rPr>
        <w:t>, vol. 9, no. 1, pp. 10–22, 2023, doi: 10.15294/jne.v9i1.42095.</w:t>
      </w:r>
    </w:p>
    <w:p w14:paraId="2DF365C9"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[23]</w:t>
      </w:r>
      <w:r>
        <w:rPr>
          <w:rFonts w:ascii="Times New Roman" w:hAnsi="Times New Roman" w:cs="Times New Roman"/>
          <w:noProof/>
          <w:sz w:val="24"/>
          <w:szCs w:val="24"/>
        </w:rPr>
        <w:tab/>
        <w:t xml:space="preserve">D. H. Siswanto and Andriyani, “Examining students’ critical thinking skills in addressing contextual matrix problem withn the tourism travel planing context,” </w:t>
      </w:r>
      <w:r>
        <w:rPr>
          <w:rFonts w:ascii="Times New Roman" w:hAnsi="Times New Roman" w:cs="Times New Roman"/>
          <w:i/>
          <w:iCs/>
          <w:noProof/>
          <w:sz w:val="24"/>
          <w:szCs w:val="24"/>
        </w:rPr>
        <w:t>Al Khawarizmi J. Pendidik. dan Pembelajaran Mat.</w:t>
      </w:r>
      <w:r>
        <w:rPr>
          <w:rFonts w:ascii="Times New Roman" w:hAnsi="Times New Roman" w:cs="Times New Roman"/>
          <w:noProof/>
          <w:sz w:val="24"/>
          <w:szCs w:val="24"/>
        </w:rPr>
        <w:t>, vol. 8, no. 2, pp. 88–98, 2024, doi: 10.22373/jppm.v8i2.23094.</w:t>
      </w:r>
    </w:p>
    <w:p w14:paraId="6D94903B"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[24]</w:t>
      </w:r>
      <w:r>
        <w:rPr>
          <w:rFonts w:ascii="Times New Roman" w:hAnsi="Times New Roman" w:cs="Times New Roman"/>
          <w:noProof/>
          <w:sz w:val="24"/>
          <w:szCs w:val="24"/>
        </w:rPr>
        <w:tab/>
        <w:t xml:space="preserve">F. Azzahra, H. Permana, L. Fitriani, R. M. Putri, and S. Wulandari, “Approaches and models development of 2013 Curriculum and Merdeka Curriculum,” </w:t>
      </w:r>
      <w:r>
        <w:rPr>
          <w:rFonts w:ascii="Times New Roman" w:hAnsi="Times New Roman" w:cs="Times New Roman"/>
          <w:i/>
          <w:iCs/>
          <w:noProof/>
          <w:sz w:val="24"/>
          <w:szCs w:val="24"/>
        </w:rPr>
        <w:t>Curricula J. Curric. Dev.</w:t>
      </w:r>
      <w:r>
        <w:rPr>
          <w:rFonts w:ascii="Times New Roman" w:hAnsi="Times New Roman" w:cs="Times New Roman"/>
          <w:noProof/>
          <w:sz w:val="24"/>
          <w:szCs w:val="24"/>
        </w:rPr>
        <w:t>, vol. 1, no. 2, pp. 189–204, 2022, doi: 10.17509/curricula.v1i2.52034.</w:t>
      </w:r>
    </w:p>
    <w:p w14:paraId="776E1AD2"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[25]</w:t>
      </w:r>
      <w:r>
        <w:rPr>
          <w:rFonts w:ascii="Times New Roman" w:hAnsi="Times New Roman" w:cs="Times New Roman"/>
          <w:noProof/>
          <w:sz w:val="24"/>
          <w:szCs w:val="24"/>
        </w:rPr>
        <w:tab/>
        <w:t xml:space="preserve">Tarso, D. H. Siswanto, and A. Setiawan, “Teacher qualifications in the implementation of the Kurikulum Merdeka and ISMUBA,” </w:t>
      </w:r>
      <w:r>
        <w:rPr>
          <w:rFonts w:ascii="Times New Roman" w:hAnsi="Times New Roman" w:cs="Times New Roman"/>
          <w:i/>
          <w:iCs/>
          <w:noProof/>
          <w:sz w:val="24"/>
          <w:szCs w:val="24"/>
        </w:rPr>
        <w:t>Curricula J. Curric. Dev.</w:t>
      </w:r>
      <w:r>
        <w:rPr>
          <w:rFonts w:ascii="Times New Roman" w:hAnsi="Times New Roman" w:cs="Times New Roman"/>
          <w:noProof/>
          <w:sz w:val="24"/>
          <w:szCs w:val="24"/>
        </w:rPr>
        <w:t>, vol. 4, no. 1, pp. 13–28, 2025, doi: 10.17509/curricula.v5i1.76836.</w:t>
      </w:r>
    </w:p>
    <w:p w14:paraId="5607E000" w14:textId="77777777" w:rsidR="00B10C68" w:rsidRDefault="00000000" w:rsidP="008141C6">
      <w:pPr>
        <w:widowControl w:val="0"/>
        <w:autoSpaceDE w:val="0"/>
        <w:autoSpaceDN w:val="0"/>
        <w:adjustRightInd w:val="0"/>
        <w:spacing w:after="0" w:line="240" w:lineRule="auto"/>
        <w:ind w:left="640" w:hanging="640"/>
        <w:jc w:val="both"/>
        <w:rPr>
          <w:rFonts w:ascii="Times New Roman" w:hAnsi="Times New Roman" w:cs="Times New Roman"/>
          <w:noProof/>
          <w:sz w:val="24"/>
        </w:rPr>
      </w:pPr>
      <w:r>
        <w:rPr>
          <w:rFonts w:ascii="Times New Roman" w:hAnsi="Times New Roman" w:cs="Times New Roman"/>
          <w:noProof/>
          <w:sz w:val="24"/>
          <w:szCs w:val="24"/>
        </w:rPr>
        <w:t>[26]</w:t>
      </w:r>
      <w:r>
        <w:rPr>
          <w:rFonts w:ascii="Times New Roman" w:hAnsi="Times New Roman" w:cs="Times New Roman"/>
          <w:noProof/>
          <w:sz w:val="24"/>
          <w:szCs w:val="24"/>
        </w:rPr>
        <w:tab/>
        <w:t xml:space="preserve">Z. Ni’mah and A. Susanto, “The essence of ‘Merdeka Belajar’ as a transformational </w:t>
      </w:r>
      <w:r>
        <w:rPr>
          <w:rFonts w:ascii="Times New Roman" w:hAnsi="Times New Roman" w:cs="Times New Roman"/>
          <w:noProof/>
          <w:sz w:val="24"/>
          <w:szCs w:val="24"/>
        </w:rPr>
        <w:lastRenderedPageBreak/>
        <w:t xml:space="preserve">culture change in Indonesian education,” in </w:t>
      </w:r>
      <w:r>
        <w:rPr>
          <w:rFonts w:ascii="Times New Roman" w:hAnsi="Times New Roman" w:cs="Times New Roman"/>
          <w:i/>
          <w:iCs/>
          <w:noProof/>
          <w:sz w:val="24"/>
          <w:szCs w:val="24"/>
        </w:rPr>
        <w:t>Science and Education</w:t>
      </w:r>
      <w:r>
        <w:rPr>
          <w:rFonts w:ascii="Times New Roman" w:hAnsi="Times New Roman" w:cs="Times New Roman"/>
          <w:noProof/>
          <w:sz w:val="24"/>
          <w:szCs w:val="24"/>
        </w:rPr>
        <w:t>, 2023, vol. 2, pp. 225–230.</w:t>
      </w:r>
    </w:p>
    <w:p w14:paraId="072947A1" w14:textId="77777777" w:rsidR="00B10C68" w:rsidRDefault="00000000" w:rsidP="00814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14:paraId="55ADA6FB" w14:textId="77777777" w:rsidR="00B10C68" w:rsidRDefault="00000000">
      <w:pPr>
        <w:spacing w:after="0" w:line="240" w:lineRule="auto"/>
        <w:jc w:val="both"/>
        <w:rPr>
          <w:rFonts w:ascii="Times New Roman" w:eastAsia="Times New Roman" w:hAnsi="Times New Roman" w:cs="Times New Roman"/>
          <w:sz w:val="24"/>
          <w:szCs w:val="24"/>
        </w:rPr>
      </w:pPr>
      <w:r>
        <w:rPr>
          <w:noProof/>
        </w:rPr>
        <mc:AlternateContent>
          <mc:Choice Requires="wps">
            <w:drawing>
              <wp:anchor distT="45720" distB="45720" distL="114300" distR="114300" simplePos="0" relativeHeight="251659264" behindDoc="0" locked="0" layoutInCell="1" hidden="0" allowOverlap="1" wp14:anchorId="7481EE18" wp14:editId="37981212">
                <wp:simplePos x="0" y="0"/>
                <wp:positionH relativeFrom="column">
                  <wp:posOffset>0</wp:posOffset>
                </wp:positionH>
                <wp:positionV relativeFrom="paragraph">
                  <wp:posOffset>40640</wp:posOffset>
                </wp:positionV>
                <wp:extent cx="5944870" cy="3016250"/>
                <wp:effectExtent l="0" t="0" r="0" b="0"/>
                <wp:wrapNone/>
                <wp:docPr id="1985936774" name="Rectangle 1985936774"/>
                <wp:cNvGraphicFramePr/>
                <a:graphic xmlns:a="http://schemas.openxmlformats.org/drawingml/2006/main">
                  <a:graphicData uri="http://schemas.microsoft.com/office/word/2010/wordprocessingShape">
                    <wps:wsp>
                      <wps:cNvSpPr/>
                      <wps:spPr>
                        <a:xfrm>
                          <a:off x="0" y="0"/>
                          <a:ext cx="5944870" cy="3016250"/>
                        </a:xfrm>
                        <a:prstGeom prst="rect">
                          <a:avLst/>
                        </a:prstGeom>
                        <a:solidFill>
                          <a:srgbClr val="E9DEF6"/>
                        </a:solidFill>
                        <a:ln>
                          <a:noFill/>
                        </a:ln>
                      </wps:spPr>
                      <wps:txbx>
                        <w:txbxContent>
                          <w:p w14:paraId="5E7DB8F4" w14:textId="77777777" w:rsidR="00B10C68" w:rsidRDefault="00000000">
                            <w:pPr>
                              <w:spacing w:before="120" w:after="240" w:line="240" w:lineRule="auto"/>
                              <w:textDirection w:val="btLr"/>
                            </w:pPr>
                            <w:r>
                              <w:rPr>
                                <w:rFonts w:ascii="Times New Roman" w:eastAsia="Times New Roman" w:hAnsi="Times New Roman" w:cs="Times New Roman"/>
                                <w:b/>
                                <w:smallCaps/>
                                <w:color w:val="7030A0"/>
                                <w:sz w:val="24"/>
                              </w:rPr>
                              <w:t>Authors</w:t>
                            </w:r>
                          </w:p>
                          <w:p w14:paraId="182D567D" w14:textId="77777777" w:rsidR="00B10C68" w:rsidRDefault="00000000">
                            <w:pPr>
                              <w:spacing w:after="120" w:line="240" w:lineRule="auto"/>
                              <w:jc w:val="both"/>
                              <w:textDirection w:val="btL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Nur Janah </w:t>
                            </w:r>
                            <w:r>
                              <w:rPr>
                                <w:rFonts w:ascii="Times New Roman" w:eastAsia="Times New Roman" w:hAnsi="Times New Roman" w:cs="Times New Roman"/>
                                <w:bCs/>
                                <w:color w:val="000000"/>
                                <w:sz w:val="24"/>
                              </w:rPr>
                              <w:t xml:space="preserve">is a Master's student in Mathematics Education at Ahmad Dahlan University. As an educator, she is committed to designing innovative and effective teaching methods to enhance student participation and understanding. She actively monitors the learning progress of each student to ensure they receive the guidance needed to achieve academic success. She can be contacted via email at </w:t>
                            </w:r>
                            <w:hyperlink r:id="rId16" w:history="1">
                              <w:r w:rsidR="00B10C68">
                                <w:rPr>
                                  <w:rStyle w:val="Hyperlink"/>
                                  <w:rFonts w:ascii="Times New Roman" w:eastAsia="Times New Roman" w:hAnsi="Times New Roman" w:cs="Times New Roman"/>
                                  <w:bCs/>
                                  <w:sz w:val="24"/>
                                </w:rPr>
                                <w:t>2207050009@webmail.uad.ac.id</w:t>
                              </w:r>
                            </w:hyperlink>
                            <w:r>
                              <w:rPr>
                                <w:rFonts w:ascii="Times New Roman" w:eastAsia="Times New Roman" w:hAnsi="Times New Roman" w:cs="Times New Roman"/>
                                <w:bCs/>
                                <w:color w:val="000000"/>
                                <w:sz w:val="24"/>
                              </w:rPr>
                              <w:t>.</w:t>
                            </w:r>
                          </w:p>
                          <w:p w14:paraId="1E5BB7D4" w14:textId="77777777" w:rsidR="00B10C68" w:rsidRDefault="00000000">
                            <w:pPr>
                              <w:spacing w:after="120" w:line="240" w:lineRule="auto"/>
                              <w:jc w:val="both"/>
                              <w:textDirection w:val="btL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Ifa Fauziah </w:t>
                            </w:r>
                            <w:r>
                              <w:rPr>
                                <w:rFonts w:ascii="Times New Roman" w:eastAsia="Times New Roman" w:hAnsi="Times New Roman" w:cs="Times New Roman"/>
                                <w:bCs/>
                                <w:color w:val="000000"/>
                                <w:sz w:val="24"/>
                              </w:rPr>
                              <w:t xml:space="preserve">is a student of Indonesian language and literature study program at Universitas Gadjah Mada. She has a deep interest in fiction writing and is active in various social community activities. She can be contacted via email: </w:t>
                            </w:r>
                            <w:hyperlink r:id="rId17" w:history="1">
                              <w:r w:rsidR="00B10C68">
                                <w:rPr>
                                  <w:rStyle w:val="Hyperlink"/>
                                  <w:rFonts w:ascii="Times New Roman" w:eastAsia="Times New Roman" w:hAnsi="Times New Roman" w:cs="Times New Roman"/>
                                  <w:bCs/>
                                  <w:sz w:val="24"/>
                                </w:rPr>
                                <w:t>ifafauziah@mail.ugm.ac.id</w:t>
                              </w:r>
                            </w:hyperlink>
                            <w:r>
                              <w:rPr>
                                <w:rFonts w:ascii="Times New Roman" w:eastAsia="Times New Roman" w:hAnsi="Times New Roman" w:cs="Times New Roman"/>
                                <w:bCs/>
                                <w:color w:val="000000"/>
                                <w:sz w:val="24"/>
                              </w:rPr>
                              <w:t>.</w:t>
                            </w:r>
                          </w:p>
                          <w:p w14:paraId="3FA7FF41" w14:textId="77777777" w:rsidR="00B10C68" w:rsidRDefault="00000000">
                            <w:pPr>
                              <w:spacing w:after="120" w:line="240" w:lineRule="auto"/>
                              <w:jc w:val="both"/>
                              <w:textDirection w:val="btL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Deny Hadi Siswanto </w:t>
                            </w:r>
                            <w:r>
                              <w:rPr>
                                <w:rFonts w:ascii="Times New Roman" w:eastAsia="Times New Roman" w:hAnsi="Times New Roman" w:cs="Times New Roman"/>
                                <w:bCs/>
                                <w:color w:val="000000"/>
                                <w:sz w:val="24"/>
                              </w:rPr>
                              <w:t xml:space="preserve">is a Mathematics teacher at SMA Muhammadiyah Mlati. As a teacher, he is actively involved in developing teaching materials such as modules, worksheets, and effective classroom activities. In addition, he is actively participating in extracurricular activities, such as joining the teacher movement program in Sleman Regency. He can be contacted via email at </w:t>
                            </w:r>
                            <w:hyperlink r:id="rId18" w:history="1">
                              <w:r w:rsidR="00B10C68">
                                <w:rPr>
                                  <w:rStyle w:val="Hyperlink"/>
                                  <w:rFonts w:ascii="Times New Roman" w:eastAsia="Times New Roman" w:hAnsi="Times New Roman" w:cs="Times New Roman"/>
                                  <w:bCs/>
                                  <w:sz w:val="24"/>
                                </w:rPr>
                                <w:t>denysiswanto11@guru.sma.belajar.id</w:t>
                              </w:r>
                            </w:hyperlink>
                            <w:r>
                              <w:rPr>
                                <w:rFonts w:ascii="Times New Roman" w:eastAsia="Times New Roman" w:hAnsi="Times New Roman" w:cs="Times New Roman"/>
                                <w:bCs/>
                                <w:color w:val="000000"/>
                                <w:sz w:val="24"/>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81EE18" id="Rectangle 1985936774" o:spid="_x0000_s1026" style="position:absolute;left:0;text-align:left;margin-left:0;margin-top:3.2pt;width:468.1pt;height:2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" fillcolor="#e9def6" stroked="f">
                <v:textbox inset="2.53958mm,1.2694mm,2.53958mm,1.2694mm">
                  <w:txbxContent>
                    <w:p w14:paraId="5E7DB8F4" w14:textId="77777777" w:rsidR="00B10C68" w:rsidRDefault="00000000">
                      <w:pPr>
                        <w:spacing w:before="120" w:after="240" w:line="240" w:lineRule="auto"/>
                        <w:textDirection w:val="btLr"/>
                      </w:pPr>
                      <w:r>
                        <w:rPr>
                          <w:rFonts w:ascii="Times New Roman" w:eastAsia="Times New Roman" w:hAnsi="Times New Roman" w:cs="Times New Roman"/>
                          <w:b/>
                          <w:smallCaps/>
                          <w:color w:val="7030A0"/>
                          <w:sz w:val="24"/>
                        </w:rPr>
                        <w:t>Authors</w:t>
                      </w:r>
                    </w:p>
                    <w:p w14:paraId="182D567D" w14:textId="77777777" w:rsidR="00B10C68" w:rsidRDefault="00000000">
                      <w:pPr>
                        <w:spacing w:after="120" w:line="240" w:lineRule="auto"/>
                        <w:jc w:val="both"/>
                        <w:textDirection w:val="btL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Nur Janah </w:t>
                      </w:r>
                      <w:r>
                        <w:rPr>
                          <w:rFonts w:ascii="Times New Roman" w:eastAsia="Times New Roman" w:hAnsi="Times New Roman" w:cs="Times New Roman"/>
                          <w:bCs/>
                          <w:color w:val="000000"/>
                          <w:sz w:val="24"/>
                        </w:rPr>
                        <w:t xml:space="preserve">is a Master's student in Mathematics Education at Ahmad Dahlan University. As an educator, she is committed to designing innovative and effective teaching methods to enhance student participation and understanding. She actively monitors the learning progress of each student to ensure they receive the guidance needed to achieve academic success. She can be contacted via email at </w:t>
                      </w:r>
                      <w:hyperlink r:id="rId19" w:history="1">
                        <w:r w:rsidR="00B10C68">
                          <w:rPr>
                            <w:rStyle w:val="Hyperlink"/>
                            <w:rFonts w:ascii="Times New Roman" w:eastAsia="Times New Roman" w:hAnsi="Times New Roman" w:cs="Times New Roman"/>
                            <w:bCs/>
                            <w:sz w:val="24"/>
                          </w:rPr>
                          <w:t>2207050009@webmail.uad.ac.id</w:t>
                        </w:r>
                      </w:hyperlink>
                      <w:r>
                        <w:rPr>
                          <w:rFonts w:ascii="Times New Roman" w:eastAsia="Times New Roman" w:hAnsi="Times New Roman" w:cs="Times New Roman"/>
                          <w:bCs/>
                          <w:color w:val="000000"/>
                          <w:sz w:val="24"/>
                        </w:rPr>
                        <w:t>.</w:t>
                      </w:r>
                    </w:p>
                    <w:p w14:paraId="1E5BB7D4" w14:textId="77777777" w:rsidR="00B10C68" w:rsidRDefault="00000000">
                      <w:pPr>
                        <w:spacing w:after="120" w:line="240" w:lineRule="auto"/>
                        <w:jc w:val="both"/>
                        <w:textDirection w:val="btL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Ifa Fauziah </w:t>
                      </w:r>
                      <w:r>
                        <w:rPr>
                          <w:rFonts w:ascii="Times New Roman" w:eastAsia="Times New Roman" w:hAnsi="Times New Roman" w:cs="Times New Roman"/>
                          <w:bCs/>
                          <w:color w:val="000000"/>
                          <w:sz w:val="24"/>
                        </w:rPr>
                        <w:t xml:space="preserve">is a student of Indonesian language and literature study program at Universitas Gadjah Mada. She has a deep interest in fiction writing and is active in various social community activities. She can be contacted via email: </w:t>
                      </w:r>
                      <w:hyperlink r:id="rId20" w:history="1">
                        <w:r w:rsidR="00B10C68">
                          <w:rPr>
                            <w:rStyle w:val="Hyperlink"/>
                            <w:rFonts w:ascii="Times New Roman" w:eastAsia="Times New Roman" w:hAnsi="Times New Roman" w:cs="Times New Roman"/>
                            <w:bCs/>
                            <w:sz w:val="24"/>
                          </w:rPr>
                          <w:t>ifafauziah@mail.ugm.ac.id</w:t>
                        </w:r>
                      </w:hyperlink>
                      <w:r>
                        <w:rPr>
                          <w:rFonts w:ascii="Times New Roman" w:eastAsia="Times New Roman" w:hAnsi="Times New Roman" w:cs="Times New Roman"/>
                          <w:bCs/>
                          <w:color w:val="000000"/>
                          <w:sz w:val="24"/>
                        </w:rPr>
                        <w:t>.</w:t>
                      </w:r>
                    </w:p>
                    <w:p w14:paraId="3FA7FF41" w14:textId="77777777" w:rsidR="00B10C68" w:rsidRDefault="00000000">
                      <w:pPr>
                        <w:spacing w:after="120" w:line="240" w:lineRule="auto"/>
                        <w:jc w:val="both"/>
                        <w:textDirection w:val="btL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Deny Hadi Siswanto </w:t>
                      </w:r>
                      <w:r>
                        <w:rPr>
                          <w:rFonts w:ascii="Times New Roman" w:eastAsia="Times New Roman" w:hAnsi="Times New Roman" w:cs="Times New Roman"/>
                          <w:bCs/>
                          <w:color w:val="000000"/>
                          <w:sz w:val="24"/>
                        </w:rPr>
                        <w:t xml:space="preserve">is a Mathematics teacher at SMA Muhammadiyah Mlati. As a teacher, he is actively involved in developing teaching materials such as modules, worksheets, and effective classroom activities. In addition, he is actively participating in extracurricular activities, such as joining the teacher movement program in Sleman Regency. He can be contacted via email at </w:t>
                      </w:r>
                      <w:hyperlink r:id="rId21" w:history="1">
                        <w:r w:rsidR="00B10C68">
                          <w:rPr>
                            <w:rStyle w:val="Hyperlink"/>
                            <w:rFonts w:ascii="Times New Roman" w:eastAsia="Times New Roman" w:hAnsi="Times New Roman" w:cs="Times New Roman"/>
                            <w:bCs/>
                            <w:sz w:val="24"/>
                          </w:rPr>
                          <w:t>denysiswanto11@guru.sma.belajar.id</w:t>
                        </w:r>
                      </w:hyperlink>
                      <w:r>
                        <w:rPr>
                          <w:rFonts w:ascii="Times New Roman" w:eastAsia="Times New Roman" w:hAnsi="Times New Roman" w:cs="Times New Roman"/>
                          <w:bCs/>
                          <w:color w:val="000000"/>
                          <w:sz w:val="24"/>
                        </w:rPr>
                        <w:t>.</w:t>
                      </w:r>
                    </w:p>
                  </w:txbxContent>
                </v:textbox>
              </v:rect>
            </w:pict>
          </mc:Fallback>
        </mc:AlternateContent>
      </w:r>
    </w:p>
    <w:p w14:paraId="01EBCD92" w14:textId="77777777" w:rsidR="00B10C68" w:rsidRDefault="00B10C68">
      <w:pPr>
        <w:spacing w:after="0" w:line="240" w:lineRule="auto"/>
        <w:ind w:left="-142" w:hanging="425"/>
        <w:jc w:val="both"/>
        <w:rPr>
          <w:rFonts w:ascii="Times New Roman" w:eastAsia="Times New Roman" w:hAnsi="Times New Roman" w:cs="Times New Roman"/>
        </w:rPr>
      </w:pPr>
    </w:p>
    <w:p w14:paraId="3E3D748D" w14:textId="40DD3B58" w:rsidR="00B10C68" w:rsidRDefault="00B10C68" w:rsidP="00EC4FF5">
      <w:pPr>
        <w:rPr>
          <w:rFonts w:ascii="Times New Roman" w:eastAsia="Times New Roman" w:hAnsi="Times New Roman" w:cs="Times New Roman"/>
        </w:rPr>
      </w:pPr>
    </w:p>
    <w:sectPr w:rsidR="00B10C68" w:rsidSect="00D21172">
      <w:headerReference w:type="even" r:id="rId22"/>
      <w:headerReference w:type="default" r:id="rId23"/>
      <w:footerReference w:type="default" r:id="rId24"/>
      <w:headerReference w:type="first" r:id="rId25"/>
      <w:footerReference w:type="first" r:id="rId26"/>
      <w:pgSz w:w="11906" w:h="16838"/>
      <w:pgMar w:top="1440" w:right="1440" w:bottom="1440" w:left="1440" w:header="680" w:footer="680" w:gutter="0"/>
      <w:pgNumType w:start="2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CA73" w14:textId="77777777" w:rsidR="004C48AB" w:rsidRDefault="004C48AB">
      <w:pPr>
        <w:spacing w:after="0" w:line="240" w:lineRule="auto"/>
      </w:pPr>
      <w:r>
        <w:separator/>
      </w:r>
    </w:p>
  </w:endnote>
  <w:endnote w:type="continuationSeparator" w:id="0">
    <w:p w14:paraId="6268FE69" w14:textId="77777777" w:rsidR="004C48AB" w:rsidRDefault="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9DF8" w14:textId="77777777" w:rsidR="00B10C68" w:rsidRDefault="00B10C68">
    <w:pPr>
      <w:widowControl w:val="0"/>
      <w:pBdr>
        <w:top w:val="nil"/>
        <w:left w:val="nil"/>
        <w:bottom w:val="nil"/>
        <w:right w:val="nil"/>
        <w:between w:val="nil"/>
      </w:pBdr>
      <w:spacing w:after="0" w:line="276" w:lineRule="auto"/>
      <w:rPr>
        <w:color w:val="000000"/>
      </w:rPr>
    </w:pPr>
  </w:p>
  <w:tbl>
    <w:tblPr>
      <w:tblStyle w:val="a1"/>
      <w:tblW w:w="9016" w:type="dxa"/>
      <w:tblBorders>
        <w:top w:val="single" w:sz="18" w:space="0" w:color="7030A0"/>
        <w:left w:val="nil"/>
        <w:bottom w:val="nil"/>
        <w:right w:val="nil"/>
        <w:insideH w:val="nil"/>
        <w:insideV w:val="nil"/>
      </w:tblBorders>
      <w:tblLayout w:type="fixed"/>
      <w:tblLook w:val="0400" w:firstRow="0" w:lastRow="0" w:firstColumn="0" w:lastColumn="0" w:noHBand="0" w:noVBand="1"/>
    </w:tblPr>
    <w:tblGrid>
      <w:gridCol w:w="3005"/>
      <w:gridCol w:w="3005"/>
      <w:gridCol w:w="3006"/>
    </w:tblGrid>
    <w:tr w:rsidR="00B10C68" w14:paraId="770D0427" w14:textId="77777777">
      <w:tc>
        <w:tcPr>
          <w:tcW w:w="3005" w:type="dxa"/>
        </w:tcPr>
        <w:p w14:paraId="7A6BFB3F" w14:textId="1B7135A0" w:rsidR="00B10C68" w:rsidRDefault="00000000">
          <w:pPr>
            <w:pBdr>
              <w:top w:val="nil"/>
              <w:left w:val="nil"/>
              <w:bottom w:val="nil"/>
              <w:right w:val="nil"/>
              <w:between w:val="nil"/>
            </w:pBdr>
            <w:tabs>
              <w:tab w:val="center" w:pos="4513"/>
              <w:tab w:val="right" w:pos="9026"/>
              <w:tab w:val="left" w:pos="7088"/>
              <w:tab w:val="center" w:pos="8222"/>
            </w:tabs>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 xml:space="preserve">Vol. </w:t>
          </w:r>
          <w:r w:rsidR="00D11FA3">
            <w:rPr>
              <w:rFonts w:ascii="Times New Roman" w:eastAsia="Times New Roman" w:hAnsi="Times New Roman" w:cs="Times New Roman"/>
              <w:color w:val="7030A0"/>
              <w:sz w:val="20"/>
              <w:szCs w:val="20"/>
            </w:rPr>
            <w:t>3</w:t>
          </w:r>
          <w:r>
            <w:rPr>
              <w:rFonts w:ascii="Times New Roman" w:eastAsia="Times New Roman" w:hAnsi="Times New Roman" w:cs="Times New Roman"/>
              <w:color w:val="7030A0"/>
              <w:sz w:val="20"/>
              <w:szCs w:val="20"/>
            </w:rPr>
            <w:t xml:space="preserve"> (</w:t>
          </w:r>
          <w:r w:rsidR="00D11FA3">
            <w:rPr>
              <w:rFonts w:ascii="Times New Roman" w:eastAsia="Times New Roman" w:hAnsi="Times New Roman" w:cs="Times New Roman"/>
              <w:color w:val="7030A0"/>
              <w:sz w:val="20"/>
              <w:szCs w:val="20"/>
            </w:rPr>
            <w:t>1</w:t>
          </w:r>
          <w:r>
            <w:rPr>
              <w:rFonts w:ascii="Times New Roman" w:eastAsia="Times New Roman" w:hAnsi="Times New Roman" w:cs="Times New Roman"/>
              <w:color w:val="7030A0"/>
              <w:sz w:val="20"/>
              <w:szCs w:val="20"/>
            </w:rPr>
            <w:t>) (202</w:t>
          </w:r>
          <w:r w:rsidR="00D11FA3">
            <w:rPr>
              <w:rFonts w:ascii="Times New Roman" w:eastAsia="Times New Roman" w:hAnsi="Times New Roman" w:cs="Times New Roman"/>
              <w:color w:val="7030A0"/>
              <w:sz w:val="20"/>
              <w:szCs w:val="20"/>
            </w:rPr>
            <w:t>6</w:t>
          </w:r>
          <w:r>
            <w:rPr>
              <w:rFonts w:ascii="Times New Roman" w:eastAsia="Times New Roman" w:hAnsi="Times New Roman" w:cs="Times New Roman"/>
              <w:color w:val="7030A0"/>
              <w:sz w:val="20"/>
              <w:szCs w:val="20"/>
            </w:rPr>
            <w:t xml:space="preserve">) </w:t>
          </w:r>
          <w:r w:rsidR="0088571D">
            <w:rPr>
              <w:rFonts w:ascii="Times New Roman" w:eastAsia="Times New Roman" w:hAnsi="Times New Roman" w:cs="Times New Roman"/>
              <w:color w:val="7030A0"/>
              <w:sz w:val="20"/>
              <w:szCs w:val="20"/>
            </w:rPr>
            <w:t>21</w:t>
          </w:r>
          <w:r>
            <w:rPr>
              <w:rFonts w:ascii="Times New Roman" w:eastAsia="Times New Roman" w:hAnsi="Times New Roman" w:cs="Times New Roman"/>
              <w:color w:val="7030A0"/>
              <w:sz w:val="20"/>
              <w:szCs w:val="20"/>
            </w:rPr>
            <w:t>-</w:t>
          </w:r>
          <w:r w:rsidR="0088571D">
            <w:rPr>
              <w:rFonts w:ascii="Times New Roman" w:eastAsia="Times New Roman" w:hAnsi="Times New Roman" w:cs="Times New Roman"/>
              <w:color w:val="7030A0"/>
              <w:sz w:val="20"/>
              <w:szCs w:val="20"/>
            </w:rPr>
            <w:t>30</w:t>
          </w:r>
        </w:p>
      </w:tc>
      <w:tc>
        <w:tcPr>
          <w:tcW w:w="3005" w:type="dxa"/>
        </w:tcPr>
        <w:p w14:paraId="1B929D05" w14:textId="77777777" w:rsidR="00B10C68" w:rsidRDefault="00000000">
          <w:pPr>
            <w:pBdr>
              <w:top w:val="nil"/>
              <w:left w:val="nil"/>
              <w:bottom w:val="nil"/>
              <w:right w:val="nil"/>
              <w:between w:val="nil"/>
            </w:pBdr>
            <w:tabs>
              <w:tab w:val="center" w:pos="4513"/>
              <w:tab w:val="right" w:pos="9026"/>
              <w:tab w:val="left" w:pos="7088"/>
              <w:tab w:val="center" w:pos="822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tc>
      <w:tc>
        <w:tcPr>
          <w:tcW w:w="3006" w:type="dxa"/>
        </w:tcPr>
        <w:p w14:paraId="629E897A" w14:textId="77777777" w:rsidR="00B10C68" w:rsidRDefault="00B10C68">
          <w:pPr>
            <w:pBdr>
              <w:top w:val="nil"/>
              <w:left w:val="nil"/>
              <w:bottom w:val="nil"/>
              <w:right w:val="nil"/>
              <w:between w:val="nil"/>
            </w:pBdr>
            <w:tabs>
              <w:tab w:val="center" w:pos="4513"/>
              <w:tab w:val="right" w:pos="9026"/>
              <w:tab w:val="left" w:pos="7088"/>
              <w:tab w:val="center" w:pos="8222"/>
            </w:tabs>
            <w:rPr>
              <w:rFonts w:ascii="Times New Roman" w:eastAsia="Times New Roman" w:hAnsi="Times New Roman" w:cs="Times New Roman"/>
              <w:color w:val="000000"/>
              <w:sz w:val="20"/>
              <w:szCs w:val="20"/>
            </w:rPr>
          </w:pPr>
        </w:p>
      </w:tc>
    </w:tr>
  </w:tbl>
  <w:p w14:paraId="49654F84" w14:textId="77777777" w:rsidR="00B10C68" w:rsidRDefault="00B10C6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86F6" w14:textId="77777777" w:rsidR="00B10C68" w:rsidRDefault="00B10C68">
    <w:pPr>
      <w:tabs>
        <w:tab w:val="left" w:pos="4217"/>
        <w:tab w:val="left" w:pos="8789"/>
      </w:tabs>
      <w:spacing w:after="0"/>
      <w:ind w:right="20"/>
      <w:rPr>
        <w:rFonts w:ascii="Times New Roman" w:eastAsia="Times New Roman" w:hAnsi="Times New Roman" w:cs="Times New Roman"/>
        <w:sz w:val="20"/>
        <w:szCs w:val="20"/>
      </w:rPr>
    </w:pPr>
  </w:p>
  <w:tbl>
    <w:tblPr>
      <w:tblStyle w:val="a2"/>
      <w:tblW w:w="9016" w:type="dxa"/>
      <w:tblBorders>
        <w:top w:val="single" w:sz="18" w:space="0" w:color="7030A0"/>
        <w:left w:val="nil"/>
        <w:bottom w:val="nil"/>
        <w:right w:val="nil"/>
        <w:insideH w:val="nil"/>
        <w:insideV w:val="nil"/>
      </w:tblBorders>
      <w:tblLayout w:type="fixed"/>
      <w:tblLook w:val="0400" w:firstRow="0" w:lastRow="0" w:firstColumn="0" w:lastColumn="0" w:noHBand="0" w:noVBand="1"/>
    </w:tblPr>
    <w:tblGrid>
      <w:gridCol w:w="3005"/>
      <w:gridCol w:w="3005"/>
      <w:gridCol w:w="3006"/>
    </w:tblGrid>
    <w:tr w:rsidR="00B10C68" w14:paraId="678454AD" w14:textId="77777777">
      <w:tc>
        <w:tcPr>
          <w:tcW w:w="3005" w:type="dxa"/>
        </w:tcPr>
        <w:p w14:paraId="23333E65" w14:textId="77777777" w:rsidR="00B10C68" w:rsidRDefault="00000000">
          <w:pPr>
            <w:pBdr>
              <w:top w:val="nil"/>
              <w:left w:val="nil"/>
              <w:bottom w:val="nil"/>
              <w:right w:val="nil"/>
              <w:between w:val="nil"/>
            </w:pBdr>
            <w:tabs>
              <w:tab w:val="center" w:pos="4513"/>
              <w:tab w:val="right" w:pos="9026"/>
              <w:tab w:val="left" w:pos="7088"/>
              <w:tab w:val="center" w:pos="8222"/>
            </w:tabs>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46BB765B" wp14:editId="20B86EC1">
                <wp:extent cx="892577" cy="155158"/>
                <wp:effectExtent l="0" t="0" r="0" b="0"/>
                <wp:docPr id="1985936780" name="image3.png" descr="A purpl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urple and white logo&#10;&#10;Description automatically generated"/>
                        <pic:cNvPicPr preferRelativeResize="0"/>
                      </pic:nvPicPr>
                      <pic:blipFill>
                        <a:blip r:embed="rId1"/>
                        <a:srcRect/>
                        <a:stretch>
                          <a:fillRect/>
                        </a:stretch>
                      </pic:blipFill>
                      <pic:spPr>
                        <a:xfrm>
                          <a:off x="0" y="0"/>
                          <a:ext cx="892577" cy="155158"/>
                        </a:xfrm>
                        <a:prstGeom prst="rect">
                          <a:avLst/>
                        </a:prstGeom>
                        <a:ln/>
                      </pic:spPr>
                    </pic:pic>
                  </a:graphicData>
                </a:graphic>
              </wp:inline>
            </w:drawing>
          </w:r>
        </w:p>
      </w:tc>
      <w:tc>
        <w:tcPr>
          <w:tcW w:w="3005" w:type="dxa"/>
        </w:tcPr>
        <w:p w14:paraId="7FED76EA" w14:textId="77777777" w:rsidR="00B10C68" w:rsidRDefault="00000000">
          <w:pPr>
            <w:pBdr>
              <w:top w:val="nil"/>
              <w:left w:val="nil"/>
              <w:bottom w:val="nil"/>
              <w:right w:val="nil"/>
              <w:between w:val="nil"/>
            </w:pBdr>
            <w:tabs>
              <w:tab w:val="center" w:pos="4513"/>
              <w:tab w:val="right" w:pos="9026"/>
              <w:tab w:val="left" w:pos="7088"/>
              <w:tab w:val="center" w:pos="822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tc>
      <w:tc>
        <w:tcPr>
          <w:tcW w:w="3006" w:type="dxa"/>
        </w:tcPr>
        <w:p w14:paraId="53F7E11F" w14:textId="03E4D79F" w:rsidR="00B10C68" w:rsidRDefault="00000000">
          <w:pPr>
            <w:pBdr>
              <w:top w:val="nil"/>
              <w:left w:val="nil"/>
              <w:bottom w:val="nil"/>
              <w:right w:val="nil"/>
              <w:between w:val="nil"/>
            </w:pBdr>
            <w:tabs>
              <w:tab w:val="center" w:pos="4513"/>
              <w:tab w:val="right" w:pos="9026"/>
              <w:tab w:val="left" w:pos="7088"/>
              <w:tab w:val="center" w:pos="822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030A0"/>
              <w:sz w:val="20"/>
              <w:szCs w:val="20"/>
            </w:rPr>
            <w:t xml:space="preserve">Vol. </w:t>
          </w:r>
          <w:r w:rsidR="00D11FA3">
            <w:rPr>
              <w:rFonts w:ascii="Times New Roman" w:eastAsia="Times New Roman" w:hAnsi="Times New Roman" w:cs="Times New Roman"/>
              <w:color w:val="7030A0"/>
              <w:sz w:val="20"/>
              <w:szCs w:val="20"/>
            </w:rPr>
            <w:t>3</w:t>
          </w:r>
          <w:r>
            <w:rPr>
              <w:rFonts w:ascii="Times New Roman" w:eastAsia="Times New Roman" w:hAnsi="Times New Roman" w:cs="Times New Roman"/>
              <w:color w:val="7030A0"/>
              <w:sz w:val="20"/>
              <w:szCs w:val="20"/>
            </w:rPr>
            <w:t xml:space="preserve"> (</w:t>
          </w:r>
          <w:r w:rsidR="00D11FA3">
            <w:rPr>
              <w:rFonts w:ascii="Times New Roman" w:eastAsia="Times New Roman" w:hAnsi="Times New Roman" w:cs="Times New Roman"/>
              <w:color w:val="7030A0"/>
              <w:sz w:val="20"/>
              <w:szCs w:val="20"/>
            </w:rPr>
            <w:t>1</w:t>
          </w:r>
          <w:r>
            <w:rPr>
              <w:rFonts w:ascii="Times New Roman" w:eastAsia="Times New Roman" w:hAnsi="Times New Roman" w:cs="Times New Roman"/>
              <w:color w:val="7030A0"/>
              <w:sz w:val="20"/>
              <w:szCs w:val="20"/>
            </w:rPr>
            <w:t>) (202</w:t>
          </w:r>
          <w:r w:rsidR="00D11FA3">
            <w:rPr>
              <w:rFonts w:ascii="Times New Roman" w:eastAsia="Times New Roman" w:hAnsi="Times New Roman" w:cs="Times New Roman"/>
              <w:color w:val="7030A0"/>
              <w:sz w:val="20"/>
              <w:szCs w:val="20"/>
            </w:rPr>
            <w:t>6</w:t>
          </w:r>
          <w:r>
            <w:rPr>
              <w:rFonts w:ascii="Times New Roman" w:eastAsia="Times New Roman" w:hAnsi="Times New Roman" w:cs="Times New Roman"/>
              <w:color w:val="7030A0"/>
              <w:sz w:val="20"/>
              <w:szCs w:val="20"/>
            </w:rPr>
            <w:t xml:space="preserve">) </w:t>
          </w:r>
          <w:r w:rsidR="00941310">
            <w:rPr>
              <w:rFonts w:ascii="Times New Roman" w:eastAsia="Times New Roman" w:hAnsi="Times New Roman" w:cs="Times New Roman"/>
              <w:color w:val="7030A0"/>
              <w:sz w:val="20"/>
              <w:szCs w:val="20"/>
            </w:rPr>
            <w:t>19</w:t>
          </w:r>
          <w:r>
            <w:rPr>
              <w:rFonts w:ascii="Times New Roman" w:eastAsia="Times New Roman" w:hAnsi="Times New Roman" w:cs="Times New Roman"/>
              <w:color w:val="7030A0"/>
              <w:sz w:val="20"/>
              <w:szCs w:val="20"/>
            </w:rPr>
            <w:t>-</w:t>
          </w:r>
          <w:r w:rsidR="00941310">
            <w:rPr>
              <w:rFonts w:ascii="Times New Roman" w:eastAsia="Times New Roman" w:hAnsi="Times New Roman" w:cs="Times New Roman"/>
              <w:color w:val="7030A0"/>
              <w:sz w:val="20"/>
              <w:szCs w:val="20"/>
            </w:rPr>
            <w:t>28</w:t>
          </w:r>
        </w:p>
      </w:tc>
    </w:tr>
  </w:tbl>
  <w:p w14:paraId="5AB158B2" w14:textId="77777777" w:rsidR="00B10C68" w:rsidRDefault="00B10C68">
    <w:pPr>
      <w:tabs>
        <w:tab w:val="left" w:pos="4217"/>
        <w:tab w:val="left" w:pos="8789"/>
      </w:tabs>
      <w:spacing w:after="0"/>
      <w:ind w:right="20"/>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94B9" w14:textId="77777777" w:rsidR="004C48AB" w:rsidRDefault="004C48AB">
      <w:pPr>
        <w:spacing w:after="0" w:line="240" w:lineRule="auto"/>
      </w:pPr>
      <w:r>
        <w:separator/>
      </w:r>
    </w:p>
  </w:footnote>
  <w:footnote w:type="continuationSeparator" w:id="0">
    <w:p w14:paraId="75110D59" w14:textId="77777777" w:rsidR="004C48AB" w:rsidRDefault="004C4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eading=h.gjdgxs" w:colFirst="0" w:colLast="0"/>
  <w:bookmarkEnd w:id="0"/>
  <w:p w14:paraId="10DA3E43" w14:textId="77777777" w:rsidR="00B10C68" w:rsidRDefault="00000000">
    <w:pPr>
      <w:tabs>
        <w:tab w:val="left" w:pos="2410"/>
      </w:tabs>
      <w:spacing w:after="0"/>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Contemporary Education and Community Engagement, Vol. 1, No. 01, July 2024</w:t>
    </w:r>
    <w:r>
      <w:rPr>
        <w:noProof/>
      </w:rPr>
      <mc:AlternateContent>
        <mc:Choice Requires="wps">
          <w:drawing>
            <wp:anchor distT="0" distB="0" distL="114300" distR="114300" simplePos="0" relativeHeight="251662336" behindDoc="0" locked="0" layoutInCell="1" hidden="0" allowOverlap="1" wp14:anchorId="55CBC6F4" wp14:editId="059C6A64">
              <wp:simplePos x="0" y="0"/>
              <wp:positionH relativeFrom="column">
                <wp:posOffset>12701</wp:posOffset>
              </wp:positionH>
              <wp:positionV relativeFrom="paragraph">
                <wp:posOffset>393700</wp:posOffset>
              </wp:positionV>
              <wp:extent cx="0" cy="38100"/>
              <wp:effectExtent l="0" t="0" r="0" b="0"/>
              <wp:wrapNone/>
              <wp:docPr id="1985936771" name="Straight Arrow Connector 1985936771"/>
              <wp:cNvGraphicFramePr/>
              <a:graphic xmlns:a="http://schemas.openxmlformats.org/drawingml/2006/main">
                <a:graphicData uri="http://schemas.microsoft.com/office/word/2010/wordprocessingShape">
                  <wps:wsp>
                    <wps:cNvCnPr/>
                    <wps:spPr>
                      <a:xfrm>
                        <a:off x="2467572" y="3780000"/>
                        <a:ext cx="5756856" cy="0"/>
                      </a:xfrm>
                      <a:prstGeom prst="straightConnector1">
                        <a:avLst/>
                      </a:prstGeom>
                      <a:noFill/>
                      <a:ln w="38100" cap="flat" cmpd="sng">
                        <a:solidFill>
                          <a:srgbClr val="7030A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12701</wp:posOffset>
              </wp:positionH>
              <wp:positionV relativeFrom="paragraph">
                <wp:posOffset>393700</wp:posOffset>
              </wp:positionV>
              <wp:extent cx="0" cy="38100"/>
              <wp:effectExtent b="0" l="0" r="0" t="0"/>
              <wp:wrapNone/>
              <wp:docPr id="1985936771"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38100"/>
                      </a:xfrm>
                      <a:prstGeom prst="rect"/>
                      <a:ln/>
                    </pic:spPr>
                  </pic:pic>
                </a:graphicData>
              </a:graphic>
            </wp:anchor>
          </w:drawing>
        </mc:Fallback>
      </mc:AlternateContent>
    </w:r>
  </w:p>
  <w:p w14:paraId="1F934012" w14:textId="77777777" w:rsidR="00B10C68" w:rsidRDefault="00B10C68">
    <w:pPr>
      <w:tabs>
        <w:tab w:val="left" w:pos="2410"/>
      </w:tabs>
      <w:spacing w:after="0"/>
      <w:ind w:right="20"/>
      <w:rPr>
        <w:rFonts w:ascii="Times New Roman" w:eastAsia="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6A6F" w14:textId="77777777" w:rsidR="00B10C68" w:rsidRDefault="00B10C68">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B10C68" w14:paraId="571092D2" w14:textId="77777777">
      <w:tc>
        <w:tcPr>
          <w:tcW w:w="9016" w:type="dxa"/>
          <w:tcBorders>
            <w:top w:val="nil"/>
            <w:left w:val="nil"/>
            <w:bottom w:val="single" w:sz="18" w:space="0" w:color="7030A0"/>
            <w:right w:val="nil"/>
          </w:tcBorders>
        </w:tcPr>
        <w:p w14:paraId="0D642C9F" w14:textId="1FE198EC" w:rsidR="00B10C68" w:rsidRDefault="00D11FA3">
          <w:pPr>
            <w:tabs>
              <w:tab w:val="left" w:pos="6673"/>
              <w:tab w:val="left" w:pos="8789"/>
              <w:tab w:val="left" w:pos="9781"/>
              <w:tab w:val="left" w:pos="10065"/>
            </w:tabs>
            <w:spacing w:line="360" w:lineRule="auto"/>
            <w:ind w:right="23"/>
            <w:rPr>
              <w:rFonts w:ascii="Times New Roman" w:eastAsia="Times New Roman" w:hAnsi="Times New Roman" w:cs="Times New Roman"/>
              <w:sz w:val="20"/>
              <w:szCs w:val="20"/>
            </w:rPr>
          </w:pPr>
          <w:bookmarkStart w:id="1" w:name="_heading=h.30j0zll" w:colFirst="0" w:colLast="0"/>
          <w:bookmarkEnd w:id="1"/>
          <w:r w:rsidRPr="00D11FA3">
            <w:rPr>
              <w:rFonts w:ascii="Times New Roman" w:eastAsia="Times New Roman" w:hAnsi="Times New Roman" w:cs="Times New Roman"/>
              <w:color w:val="7030A0"/>
              <w:sz w:val="20"/>
              <w:szCs w:val="20"/>
            </w:rPr>
            <w:t>Janah</w:t>
          </w:r>
          <w:r>
            <w:rPr>
              <w:rFonts w:ascii="Times New Roman" w:eastAsia="Times New Roman" w:hAnsi="Times New Roman" w:cs="Times New Roman"/>
              <w:color w:val="7030A0"/>
              <w:sz w:val="20"/>
              <w:szCs w:val="20"/>
            </w:rPr>
            <w:t xml:space="preserve">: </w:t>
          </w:r>
          <w:r w:rsidRPr="00D11FA3">
            <w:rPr>
              <w:rFonts w:ascii="Times New Roman" w:eastAsia="Times New Roman" w:hAnsi="Times New Roman" w:cs="Times New Roman"/>
              <w:color w:val="7030A0"/>
              <w:sz w:val="20"/>
              <w:szCs w:val="20"/>
            </w:rPr>
            <w:t xml:space="preserve">Investigating </w:t>
          </w:r>
          <w:r w:rsidR="00120C82">
            <w:rPr>
              <w:rFonts w:ascii="Times New Roman" w:eastAsia="Times New Roman" w:hAnsi="Times New Roman" w:cs="Times New Roman"/>
              <w:color w:val="7030A0"/>
              <w:sz w:val="20"/>
              <w:szCs w:val="20"/>
            </w:rPr>
            <w:t>t</w:t>
          </w:r>
          <w:r w:rsidR="0044128F" w:rsidRPr="00D11FA3">
            <w:rPr>
              <w:rFonts w:ascii="Times New Roman" w:eastAsia="Times New Roman" w:hAnsi="Times New Roman" w:cs="Times New Roman"/>
              <w:color w:val="7030A0"/>
              <w:sz w:val="20"/>
              <w:szCs w:val="20"/>
            </w:rPr>
            <w:t>he</w:t>
          </w:r>
          <w:r w:rsidRPr="00D11FA3">
            <w:rPr>
              <w:rFonts w:ascii="Times New Roman" w:eastAsia="Times New Roman" w:hAnsi="Times New Roman" w:cs="Times New Roman"/>
              <w:color w:val="7030A0"/>
              <w:sz w:val="20"/>
              <w:szCs w:val="20"/>
            </w:rPr>
            <w:t xml:space="preserve"> </w:t>
          </w:r>
          <w:r w:rsidR="00120C82">
            <w:rPr>
              <w:rFonts w:ascii="Times New Roman" w:eastAsia="Times New Roman" w:hAnsi="Times New Roman" w:cs="Times New Roman"/>
              <w:color w:val="7030A0"/>
              <w:sz w:val="20"/>
              <w:szCs w:val="20"/>
            </w:rPr>
            <w:t>i</w:t>
          </w:r>
          <w:r w:rsidRPr="00D11FA3">
            <w:rPr>
              <w:rFonts w:ascii="Times New Roman" w:eastAsia="Times New Roman" w:hAnsi="Times New Roman" w:cs="Times New Roman"/>
              <w:color w:val="7030A0"/>
              <w:sz w:val="20"/>
              <w:szCs w:val="20"/>
            </w:rPr>
            <w:t xml:space="preserve">mpact of the 3cm Model </w:t>
          </w:r>
          <w:r>
            <w:rPr>
              <w:rFonts w:ascii="Times New Roman" w:eastAsia="Times New Roman" w:hAnsi="Times New Roman" w:cs="Times New Roman"/>
              <w:color w:val="7030A0"/>
              <w:sz w:val="20"/>
              <w:szCs w:val="20"/>
            </w:rPr>
            <w:t>…</w:t>
          </w:r>
        </w:p>
      </w:tc>
    </w:tr>
  </w:tbl>
  <w:p w14:paraId="31DD71EF" w14:textId="77777777" w:rsidR="00B10C68" w:rsidRDefault="00B10C68">
    <w:pPr>
      <w:tabs>
        <w:tab w:val="left" w:pos="6673"/>
        <w:tab w:val="left" w:pos="8789"/>
        <w:tab w:val="left" w:pos="9781"/>
        <w:tab w:val="left" w:pos="10065"/>
      </w:tabs>
      <w:spacing w:after="0" w:line="360" w:lineRule="auto"/>
      <w:ind w:right="23"/>
      <w:rPr>
        <w:rFonts w:ascii="Times New Roman" w:eastAsia="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E5BE" w14:textId="77777777" w:rsidR="00B10C68"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r>
      <w:rPr>
        <w:noProof/>
      </w:rPr>
      <w:drawing>
        <wp:anchor distT="0" distB="0" distL="114300" distR="114300" simplePos="0" relativeHeight="251658240" behindDoc="0" locked="0" layoutInCell="1" hidden="0" allowOverlap="1" wp14:anchorId="5CAA3972" wp14:editId="096AB052">
          <wp:simplePos x="0" y="0"/>
          <wp:positionH relativeFrom="column">
            <wp:posOffset>-914399</wp:posOffset>
          </wp:positionH>
          <wp:positionV relativeFrom="paragraph">
            <wp:posOffset>-430620</wp:posOffset>
          </wp:positionV>
          <wp:extent cx="7731760" cy="1144905"/>
          <wp:effectExtent l="0" t="0" r="0" b="0"/>
          <wp:wrapNone/>
          <wp:docPr id="198593677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b="11131"/>
                  <a:stretch>
                    <a:fillRect/>
                  </a:stretch>
                </pic:blipFill>
                <pic:spPr>
                  <a:xfrm>
                    <a:off x="0" y="0"/>
                    <a:ext cx="7731760" cy="114490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CFAEE76" wp14:editId="219B194F">
              <wp:simplePos x="0" y="0"/>
              <wp:positionH relativeFrom="column">
                <wp:posOffset>5334000</wp:posOffset>
              </wp:positionH>
              <wp:positionV relativeFrom="paragraph">
                <wp:posOffset>-380999</wp:posOffset>
              </wp:positionV>
              <wp:extent cx="1231679" cy="382270"/>
              <wp:effectExtent l="0" t="0" r="0" b="0"/>
              <wp:wrapNone/>
              <wp:docPr id="1985936773" name="Rectangle 1985936773"/>
              <wp:cNvGraphicFramePr/>
              <a:graphic xmlns:a="http://schemas.openxmlformats.org/drawingml/2006/main">
                <a:graphicData uri="http://schemas.microsoft.com/office/word/2010/wordprocessingShape">
                  <wps:wsp>
                    <wps:cNvSpPr/>
                    <wps:spPr>
                      <a:xfrm>
                        <a:off x="4734923" y="3593628"/>
                        <a:ext cx="1222154" cy="372745"/>
                      </a:xfrm>
                      <a:prstGeom prst="rect">
                        <a:avLst/>
                      </a:prstGeom>
                      <a:noFill/>
                      <a:ln>
                        <a:noFill/>
                      </a:ln>
                    </wps:spPr>
                    <wps:txbx>
                      <w:txbxContent>
                        <w:p w14:paraId="69569CE5" w14:textId="77777777" w:rsidR="00B10C68" w:rsidRDefault="00000000">
                          <w:pPr>
                            <w:spacing w:after="0" w:line="240" w:lineRule="auto"/>
                            <w:textDirection w:val="btLr"/>
                          </w:pPr>
                          <w:r>
                            <w:rPr>
                              <w:rFonts w:ascii="Times New Roman" w:eastAsia="Times New Roman" w:hAnsi="Times New Roman" w:cs="Times New Roman"/>
                              <w:color w:val="000000"/>
                              <w:sz w:val="20"/>
                            </w:rPr>
                            <w:t>p-ISSN: 3048-4324</w:t>
                          </w:r>
                        </w:p>
                        <w:p w14:paraId="3ACDDF7F" w14:textId="77777777" w:rsidR="00B10C68" w:rsidRDefault="00000000">
                          <w:pPr>
                            <w:spacing w:after="0" w:line="240" w:lineRule="auto"/>
                            <w:textDirection w:val="btLr"/>
                          </w:pPr>
                          <w:r>
                            <w:rPr>
                              <w:rFonts w:ascii="Times New Roman" w:eastAsia="Times New Roman" w:hAnsi="Times New Roman" w:cs="Times New Roman"/>
                              <w:color w:val="000000"/>
                              <w:sz w:val="20"/>
                            </w:rPr>
                            <w:t>e-ISSN: 3048-4316</w:t>
                          </w:r>
                        </w:p>
                      </w:txbxContent>
                    </wps:txbx>
                    <wps:bodyPr spcFirstLastPara="1" wrap="square" lIns="91425" tIns="45700" rIns="91425" bIns="45700" anchor="ctr" anchorCtr="0">
                      <a:noAutofit/>
                    </wps:bodyPr>
                  </wps:wsp>
                </a:graphicData>
              </a:graphic>
            </wp:anchor>
          </w:drawing>
        </mc:Choice>
        <mc:Fallback>
          <w:pict>
            <v:rect w14:anchorId="5CFAEE76" id="Rectangle 1985936773" o:spid="_x0000_s1027" style="position:absolute;margin-left:420pt;margin-top:-30pt;width:97pt;height:30.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" filled="f" stroked="f">
              <v:textbox inset="2.53958mm,1.2694mm,2.53958mm,1.2694mm">
                <w:txbxContent>
                  <w:p w14:paraId="69569CE5" w14:textId="77777777" w:rsidR="00B10C68" w:rsidRDefault="00000000">
                    <w:pPr>
                      <w:spacing w:after="0" w:line="240" w:lineRule="auto"/>
                      <w:textDirection w:val="btLr"/>
                    </w:pPr>
                    <w:r>
                      <w:rPr>
                        <w:rFonts w:ascii="Times New Roman" w:eastAsia="Times New Roman" w:hAnsi="Times New Roman" w:cs="Times New Roman"/>
                        <w:color w:val="000000"/>
                        <w:sz w:val="20"/>
                      </w:rPr>
                      <w:t>p-ISSN: 3048-4324</w:t>
                    </w:r>
                  </w:p>
                  <w:p w14:paraId="3ACDDF7F" w14:textId="77777777" w:rsidR="00B10C68" w:rsidRDefault="00000000">
                    <w:pPr>
                      <w:spacing w:after="0" w:line="240" w:lineRule="auto"/>
                      <w:textDirection w:val="btLr"/>
                    </w:pPr>
                    <w:r>
                      <w:rPr>
                        <w:rFonts w:ascii="Times New Roman" w:eastAsia="Times New Roman" w:hAnsi="Times New Roman" w:cs="Times New Roman"/>
                        <w:color w:val="000000"/>
                        <w:sz w:val="20"/>
                      </w:rPr>
                      <w:t>e-ISSN: 3048-4316</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5626A984" wp14:editId="2442012D">
              <wp:simplePos x="0" y="0"/>
              <wp:positionH relativeFrom="column">
                <wp:posOffset>1968500</wp:posOffset>
              </wp:positionH>
              <wp:positionV relativeFrom="paragraph">
                <wp:posOffset>203200</wp:posOffset>
              </wp:positionV>
              <wp:extent cx="4617306" cy="315651"/>
              <wp:effectExtent l="0" t="0" r="0" b="0"/>
              <wp:wrapNone/>
              <wp:docPr id="1985936772" name="Rectangle 1985936772"/>
              <wp:cNvGraphicFramePr/>
              <a:graphic xmlns:a="http://schemas.openxmlformats.org/drawingml/2006/main">
                <a:graphicData uri="http://schemas.microsoft.com/office/word/2010/wordprocessingShape">
                  <wps:wsp>
                    <wps:cNvSpPr/>
                    <wps:spPr>
                      <a:xfrm>
                        <a:off x="3042110" y="3626937"/>
                        <a:ext cx="4607781" cy="306126"/>
                      </a:xfrm>
                      <a:prstGeom prst="rect">
                        <a:avLst/>
                      </a:prstGeom>
                      <a:noFill/>
                      <a:ln>
                        <a:noFill/>
                      </a:ln>
                    </wps:spPr>
                    <wps:txbx>
                      <w:txbxContent>
                        <w:p w14:paraId="3D4007CD" w14:textId="77777777" w:rsidR="00B10C68" w:rsidRDefault="00000000">
                          <w:pPr>
                            <w:spacing w:after="0" w:line="240" w:lineRule="auto"/>
                            <w:textDirection w:val="btLr"/>
                          </w:pPr>
                          <w:r>
                            <w:rPr>
                              <w:rFonts w:ascii="Times New Roman" w:eastAsia="Times New Roman" w:hAnsi="Times New Roman" w:cs="Times New Roman"/>
                              <w:b/>
                              <w:color w:val="000000"/>
                              <w:sz w:val="28"/>
                            </w:rPr>
                            <w:t>Contemporary Education and Community Engagement</w:t>
                          </w:r>
                        </w:p>
                      </w:txbxContent>
                    </wps:txbx>
                    <wps:bodyPr spcFirstLastPara="1" wrap="square" lIns="91425" tIns="45700" rIns="91425" bIns="45700" anchor="ctr" anchorCtr="0">
                      <a:noAutofit/>
                    </wps:bodyPr>
                  </wps:wsp>
                </a:graphicData>
              </a:graphic>
            </wp:anchor>
          </w:drawing>
        </mc:Choice>
        <mc:Fallback>
          <w:pict>
            <v:rect w14:anchorId="5626A984" id="Rectangle 1985936772" o:spid="_x0000_s1028" style="position:absolute;margin-left:155pt;margin-top:16pt;width:363.55pt;height:24.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" filled="f" stroked="f">
              <v:textbox inset="2.53958mm,1.2694mm,2.53958mm,1.2694mm">
                <w:txbxContent>
                  <w:p w14:paraId="3D4007CD" w14:textId="77777777" w:rsidR="00B10C68" w:rsidRDefault="00000000">
                    <w:pPr>
                      <w:spacing w:after="0" w:line="240" w:lineRule="auto"/>
                      <w:textDirection w:val="btLr"/>
                    </w:pPr>
                    <w:r>
                      <w:rPr>
                        <w:rFonts w:ascii="Times New Roman" w:eastAsia="Times New Roman" w:hAnsi="Times New Roman" w:cs="Times New Roman"/>
                        <w:b/>
                        <w:color w:val="000000"/>
                        <w:sz w:val="28"/>
                      </w:rPr>
                      <w:t>Contemporary Education and Community Engagement</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1333D51F" wp14:editId="4683BB76">
              <wp:simplePos x="0" y="0"/>
              <wp:positionH relativeFrom="column">
                <wp:posOffset>76201</wp:posOffset>
              </wp:positionH>
              <wp:positionV relativeFrom="paragraph">
                <wp:posOffset>406400</wp:posOffset>
              </wp:positionV>
              <wp:extent cx="1798435" cy="242728"/>
              <wp:effectExtent l="0" t="0" r="0" b="0"/>
              <wp:wrapNone/>
              <wp:docPr id="1985936770" name="Rectangle 1985936770"/>
              <wp:cNvGraphicFramePr/>
              <a:graphic xmlns:a="http://schemas.openxmlformats.org/drawingml/2006/main">
                <a:graphicData uri="http://schemas.microsoft.com/office/word/2010/wordprocessingShape">
                  <wps:wsp>
                    <wps:cNvSpPr/>
                    <wps:spPr>
                      <a:xfrm>
                        <a:off x="4451545" y="3663399"/>
                        <a:ext cx="1788910" cy="233203"/>
                      </a:xfrm>
                      <a:prstGeom prst="rect">
                        <a:avLst/>
                      </a:prstGeom>
                      <a:noFill/>
                      <a:ln>
                        <a:noFill/>
                      </a:ln>
                    </wps:spPr>
                    <wps:txbx>
                      <w:txbxContent>
                        <w:p w14:paraId="05E424EE" w14:textId="77777777" w:rsidR="00B10C68" w:rsidRDefault="00000000">
                          <w:pPr>
                            <w:spacing w:after="0" w:line="240" w:lineRule="auto"/>
                            <w:textDirection w:val="btLr"/>
                          </w:pPr>
                          <w:r>
                            <w:rPr>
                              <w:rFonts w:ascii="Times New Roman" w:eastAsia="Times New Roman" w:hAnsi="Times New Roman" w:cs="Times New Roman"/>
                              <w:color w:val="FFFFFF"/>
                              <w:sz w:val="14"/>
                            </w:rPr>
                            <w:t>https://journal1.uad.ac.id/index.php/CECE</w:t>
                          </w:r>
                        </w:p>
                      </w:txbxContent>
                    </wps:txbx>
                    <wps:bodyPr spcFirstLastPara="1" wrap="square" lIns="91425" tIns="45700" rIns="91425" bIns="45700" anchor="ctr" anchorCtr="0">
                      <a:noAutofit/>
                    </wps:bodyPr>
                  </wps:wsp>
                </a:graphicData>
              </a:graphic>
            </wp:anchor>
          </w:drawing>
        </mc:Choice>
        <mc:Fallback>
          <w:pict>
            <v:rect w14:anchorId="1333D51F" id="Rectangle 1985936770" o:spid="_x0000_s1029" style="position:absolute;margin-left:6pt;margin-top:32pt;width:141.6pt;height:19.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" filled="f" stroked="f">
              <v:textbox inset="2.53958mm,1.2694mm,2.53958mm,1.2694mm">
                <w:txbxContent>
                  <w:p w14:paraId="05E424EE" w14:textId="77777777" w:rsidR="00B10C68" w:rsidRDefault="00000000">
                    <w:pPr>
                      <w:spacing w:after="0" w:line="240" w:lineRule="auto"/>
                      <w:textDirection w:val="btLr"/>
                    </w:pPr>
                    <w:r>
                      <w:rPr>
                        <w:rFonts w:ascii="Times New Roman" w:eastAsia="Times New Roman" w:hAnsi="Times New Roman" w:cs="Times New Roman"/>
                        <w:color w:val="FFFFFF"/>
                        <w:sz w:val="14"/>
                      </w:rPr>
                      <w:t>https://journal1.uad.ac.id/index.php/CECE</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C68"/>
    <w:rsid w:val="00045D05"/>
    <w:rsid w:val="000609A4"/>
    <w:rsid w:val="00120C82"/>
    <w:rsid w:val="002B6110"/>
    <w:rsid w:val="002D0FFD"/>
    <w:rsid w:val="0044128F"/>
    <w:rsid w:val="00447852"/>
    <w:rsid w:val="004C48AB"/>
    <w:rsid w:val="005864EF"/>
    <w:rsid w:val="00616349"/>
    <w:rsid w:val="00622957"/>
    <w:rsid w:val="008141C6"/>
    <w:rsid w:val="008348A2"/>
    <w:rsid w:val="0088571D"/>
    <w:rsid w:val="0091741E"/>
    <w:rsid w:val="00941310"/>
    <w:rsid w:val="009F75FF"/>
    <w:rsid w:val="00A36072"/>
    <w:rsid w:val="00A769F2"/>
    <w:rsid w:val="00B10C68"/>
    <w:rsid w:val="00D11FA3"/>
    <w:rsid w:val="00D21172"/>
    <w:rsid w:val="00E85B16"/>
    <w:rsid w:val="00EC4FF5"/>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719A1"/>
  <w15:docId w15:val="{8E3F49E2-B693-40CC-B36A-5FBB221F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120" w:after="0" w:line="240" w:lineRule="auto"/>
      <w:outlineLvl w:val="0"/>
    </w:pPr>
    <w:rPr>
      <w:rFonts w:ascii="Times New Roman" w:eastAsiaTheme="majorEastAsia" w:hAnsi="Times New Roman" w:cstheme="majorBidi"/>
      <w:b/>
      <w:caps/>
      <w:sz w:val="24"/>
      <w:szCs w:val="32"/>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imes New Roman" w:eastAsiaTheme="majorEastAsia" w:hAnsi="Times New Roman" w:cstheme="majorBidi"/>
      <w:b/>
      <w:sz w:val="24"/>
      <w:szCs w:val="26"/>
    </w:rPr>
  </w:style>
  <w:style w:type="paragraph" w:styleId="Heading3">
    <w:name w:val="heading 3"/>
    <w:aliases w:val="Keywords"/>
    <w:basedOn w:val="Normal"/>
    <w:next w:val="Normal"/>
    <w:link w:val="Heading3Char"/>
    <w:uiPriority w:val="9"/>
    <w:unhideWhenUsed/>
    <w:qFormat/>
    <w:pPr>
      <w:keepNext/>
      <w:keepLines/>
      <w:spacing w:before="120" w:after="600"/>
      <w:outlineLvl w:val="2"/>
    </w:pPr>
    <w:rPr>
      <w:rFonts w:ascii="Times New Roman" w:eastAsiaTheme="majorEastAsia" w:hAnsi="Times New Roman" w:cstheme="majorBidi"/>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480" w:line="240" w:lineRule="auto"/>
      <w:contextualSpacing/>
      <w:jc w:val="center"/>
    </w:pPr>
    <w:rPr>
      <w:rFonts w:ascii="Times New Roman" w:eastAsiaTheme="majorEastAsia" w:hAnsi="Times New Roman" w:cstheme="majorBidi"/>
      <w:b/>
      <w:spacing w:val="-10"/>
      <w:kern w:val="28"/>
      <w:sz w:val="40"/>
      <w:szCs w:val="56"/>
    </w:rPr>
  </w:style>
  <w:style w:type="character" w:customStyle="1" w:styleId="Heading1Char">
    <w:name w:val="Heading 1 Char"/>
    <w:basedOn w:val="DefaultParagraphFont"/>
    <w:link w:val="Heading1"/>
    <w:uiPriority w:val="9"/>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character" w:customStyle="1" w:styleId="Heading3Char">
    <w:name w:val="Heading 3 Char"/>
    <w:aliases w:val="Keywords Char"/>
    <w:basedOn w:val="DefaultParagraphFont"/>
    <w:link w:val="Heading3"/>
    <w:uiPriority w:val="9"/>
    <w:rPr>
      <w:rFonts w:ascii="Times New Roman" w:eastAsiaTheme="majorEastAsia" w:hAnsi="Times New Roman" w:cstheme="majorBidi"/>
      <w:szCs w:val="24"/>
    </w:rPr>
  </w:style>
  <w:style w:type="character" w:customStyle="1" w:styleId="TitleChar">
    <w:name w:val="Title Char"/>
    <w:basedOn w:val="DefaultParagraphFont"/>
    <w:link w:val="Title"/>
    <w:uiPriority w:val="10"/>
    <w:rPr>
      <w:rFonts w:ascii="Times New Roman" w:eastAsiaTheme="majorEastAsia" w:hAnsi="Times New Roman" w:cstheme="majorBidi"/>
      <w:b/>
      <w:spacing w:val="-10"/>
      <w:kern w:val="28"/>
      <w:sz w:val="40"/>
      <w:szCs w:val="56"/>
    </w:rPr>
  </w:style>
  <w:style w:type="paragraph" w:styleId="Subtitle">
    <w:name w:val="Subtitle"/>
    <w:basedOn w:val="Normal"/>
    <w:next w:val="Normal"/>
    <w:link w:val="SubtitleChar"/>
    <w:uiPriority w:val="11"/>
    <w:qFormat/>
    <w:pPr>
      <w:spacing w:after="720"/>
      <w:jc w:val="center"/>
    </w:pPr>
    <w:rPr>
      <w:rFonts w:ascii="Times New Roman" w:eastAsia="Times New Roman" w:hAnsi="Times New Roman" w:cs="Times New Roman"/>
      <w:color w:val="5A5A5A"/>
      <w:sz w:val="20"/>
      <w:szCs w:val="20"/>
    </w:rPr>
  </w:style>
  <w:style w:type="character" w:customStyle="1" w:styleId="SubtitleChar">
    <w:name w:val="Subtitle Char"/>
    <w:basedOn w:val="DefaultParagraphFont"/>
    <w:link w:val="Subtitle"/>
    <w:uiPriority w:val="11"/>
    <w:rPr>
      <w:rFonts w:ascii="Times New Roman" w:eastAsiaTheme="minorEastAsia" w:hAnsi="Times New Roman"/>
      <w:color w:val="5A5A5A" w:themeColor="text1" w:themeTint="A5"/>
      <w:sz w:val="20"/>
    </w:rPr>
  </w:style>
  <w:style w:type="character" w:styleId="Hyperlink">
    <w:name w:val="Hyperlink"/>
    <w:basedOn w:val="DefaultParagraphFont"/>
    <w:uiPriority w:val="99"/>
    <w:unhideWhenUsed/>
    <w:rPr>
      <w:color w:val="0563C1" w:themeColor="hyperlink"/>
      <w:u w:val="single"/>
    </w:rPr>
  </w:style>
  <w:style w:type="paragraph" w:customStyle="1" w:styleId="Author">
    <w:name w:val="Author"/>
    <w:basedOn w:val="Subtitle"/>
    <w:link w:val="AuthorChar"/>
    <w:qFormat/>
    <w:pPr>
      <w:spacing w:after="0"/>
    </w:pPr>
    <w:rPr>
      <w:b/>
      <w:sz w:val="24"/>
    </w:rPr>
  </w:style>
  <w:style w:type="character" w:customStyle="1" w:styleId="AuthorChar">
    <w:name w:val="Author Char"/>
    <w:basedOn w:val="SubtitleChar"/>
    <w:link w:val="Author"/>
    <w:rPr>
      <w:rFonts w:ascii="Times New Roman" w:eastAsiaTheme="minorEastAsia" w:hAnsi="Times New Roman"/>
      <w:b/>
      <w:color w:val="5A5A5A" w:themeColor="text1" w:themeTint="A5"/>
      <w:sz w:val="24"/>
    </w:rPr>
  </w:style>
  <w:style w:type="paragraph" w:customStyle="1" w:styleId="Abstract">
    <w:name w:val="Abstract"/>
    <w:basedOn w:val="Normal"/>
    <w:link w:val="AbstractChar"/>
    <w:qFormat/>
    <w:pPr>
      <w:spacing w:after="120" w:line="240" w:lineRule="auto"/>
      <w:jc w:val="both"/>
    </w:pPr>
    <w:rPr>
      <w:rFonts w:ascii="Times New Roman" w:hAnsi="Times New Roman"/>
    </w:rPr>
  </w:style>
  <w:style w:type="character" w:customStyle="1" w:styleId="AbstractChar">
    <w:name w:val="Abstract Char"/>
    <w:basedOn w:val="DefaultParagraphFont"/>
    <w:link w:val="Abstract"/>
    <w:rPr>
      <w:rFonts w:ascii="Times New Roman" w:hAnsi="Times New Roman"/>
    </w:rPr>
  </w:style>
  <w:style w:type="paragraph" w:styleId="NoSpacing">
    <w:name w:val="No Spacing"/>
    <w:aliases w:val="BodyText,Corpo do Texto"/>
    <w:link w:val="NoSpacingChar"/>
    <w:uiPriority w:val="1"/>
    <w:qFormat/>
    <w:pPr>
      <w:spacing w:after="120" w:line="360" w:lineRule="auto"/>
      <w:ind w:firstLine="567"/>
      <w:jc w:val="both"/>
    </w:pPr>
    <w:rPr>
      <w:rFonts w:ascii="Times New Roman" w:hAnsi="Times New Roman"/>
      <w:sz w:val="24"/>
    </w:rPr>
  </w:style>
  <w:style w:type="character" w:customStyle="1" w:styleId="NoSpacingChar">
    <w:name w:val="No Spacing Char"/>
    <w:aliases w:val="BodyText Char,Corpo do Texto Char"/>
    <w:basedOn w:val="DefaultParagraphFont"/>
    <w:link w:val="NoSpacing"/>
    <w:uiPriority w:val="1"/>
    <w:rPr>
      <w:rFonts w:ascii="Times New Roman" w:hAnsi="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customStyle="1" w:styleId="FooterChar">
    <w:name w:val="Footer Char"/>
    <w:basedOn w:val="DefaultParagraphFont"/>
    <w:link w:val="Footer"/>
    <w:uiPriority w:val="99"/>
    <w:qFormat/>
  </w:style>
  <w:style w:type="character" w:styleId="SubtleEmphasis">
    <w:name w:val="Subtle Emphasis"/>
    <w:basedOn w:val="DefaultParagraphFont"/>
    <w:uiPriority w:val="19"/>
    <w:qFormat/>
    <w:rPr>
      <w:i/>
      <w:iCs/>
      <w:color w:val="404040" w:themeColor="text1" w:themeTint="BF"/>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ListParagraph">
    <w:name w:val="List Paragraph"/>
    <w:aliases w:val="Body of text,Colorful List - Accent 11,List Paragraph1"/>
    <w:basedOn w:val="Normal"/>
    <w:link w:val="ListParagraphChar"/>
    <w:uiPriority w:val="34"/>
    <w:qFormat/>
    <w:pPr>
      <w:ind w:left="720"/>
      <w:contextualSpacing/>
    </w:pPr>
    <w:rPr>
      <w:rFonts w:cs="Arial"/>
      <w:lang w:val="pt-BR"/>
    </w:rPr>
  </w:style>
  <w:style w:type="paragraph" w:styleId="Caption">
    <w:name w:val="caption"/>
    <w:basedOn w:val="Normal"/>
    <w:next w:val="Normal"/>
    <w:uiPriority w:val="35"/>
    <w:unhideWhenUsed/>
    <w:qFormat/>
    <w:pPr>
      <w:spacing w:after="200" w:line="240" w:lineRule="auto"/>
    </w:pPr>
    <w:rPr>
      <w:rFonts w:cs="Arial"/>
      <w:i/>
      <w:iCs/>
      <w:color w:val="44546A"/>
      <w:sz w:val="18"/>
      <w:szCs w:val="18"/>
      <w:lang w:val="en-US"/>
    </w:rPr>
  </w:style>
  <w:style w:type="character" w:customStyle="1" w:styleId="ListParagraphChar">
    <w:name w:val="List Paragraph Char"/>
    <w:aliases w:val="Body of text Char,Colorful List - Accent 11 Char,List Paragraph1 Char"/>
    <w:link w:val="ListParagraph"/>
    <w:uiPriority w:val="34"/>
    <w:locked/>
    <w:rPr>
      <w:rFonts w:ascii="Calibri" w:eastAsia="Calibri" w:hAnsi="Calibri" w:cs="Arial"/>
      <w:kern w:val="0"/>
      <w:lang w:val="pt-BR"/>
    </w:rPr>
  </w:style>
  <w:style w:type="character" w:styleId="UnresolvedMention">
    <w:name w:val="Unresolved Mention"/>
    <w:basedOn w:val="DefaultParagraphFont"/>
    <w:uiPriority w:val="99"/>
    <w:semiHidden/>
    <w:unhideWhenUsed/>
    <w:rPr>
      <w:color w:val="605E5C"/>
      <w:shd w:val="clear" w:color="auto" w:fill="E1DFDD"/>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iation-Bioenvipo">
    <w:name w:val="Affiliation-Bioenvipo"/>
    <w:basedOn w:val="Normal"/>
    <w:qFormat/>
    <w:pPr>
      <w:keepNext/>
      <w:keepLines/>
      <w:spacing w:after="0" w:line="240" w:lineRule="auto"/>
    </w:pPr>
    <w:rPr>
      <w:rFonts w:ascii="Liberation Serif" w:eastAsia="Times New Roman" w:hAnsi="Liberation Serif" w:cs="Times New Roman"/>
      <w:sz w:val="24"/>
      <w:szCs w:val="7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3265">
      <w:bodyDiv w:val="1"/>
      <w:marLeft w:val="0"/>
      <w:marRight w:val="0"/>
      <w:marTop w:val="0"/>
      <w:marBottom w:val="0"/>
      <w:divBdr>
        <w:top w:val="none" w:sz="0" w:space="0" w:color="auto"/>
        <w:left w:val="none" w:sz="0" w:space="0" w:color="auto"/>
        <w:bottom w:val="none" w:sz="0" w:space="0" w:color="auto"/>
        <w:right w:val="none" w:sz="0" w:space="0" w:color="auto"/>
      </w:divBdr>
    </w:div>
    <w:div w:id="518853846">
      <w:bodyDiv w:val="1"/>
      <w:marLeft w:val="0"/>
      <w:marRight w:val="0"/>
      <w:marTop w:val="0"/>
      <w:marBottom w:val="0"/>
      <w:divBdr>
        <w:top w:val="none" w:sz="0" w:space="0" w:color="auto"/>
        <w:left w:val="none" w:sz="0" w:space="0" w:color="auto"/>
        <w:bottom w:val="none" w:sz="0" w:space="0" w:color="auto"/>
        <w:right w:val="none" w:sz="0" w:space="0" w:color="auto"/>
      </w:divBdr>
    </w:div>
    <w:div w:id="882249790">
      <w:bodyDiv w:val="1"/>
      <w:marLeft w:val="0"/>
      <w:marRight w:val="0"/>
      <w:marTop w:val="0"/>
      <w:marBottom w:val="0"/>
      <w:divBdr>
        <w:top w:val="none" w:sz="0" w:space="0" w:color="auto"/>
        <w:left w:val="none" w:sz="0" w:space="0" w:color="auto"/>
        <w:bottom w:val="none" w:sz="0" w:space="0" w:color="auto"/>
        <w:right w:val="none" w:sz="0" w:space="0" w:color="auto"/>
      </w:divBdr>
    </w:div>
    <w:div w:id="1147208869">
      <w:bodyDiv w:val="1"/>
      <w:marLeft w:val="0"/>
      <w:marRight w:val="0"/>
      <w:marTop w:val="0"/>
      <w:marBottom w:val="0"/>
      <w:divBdr>
        <w:top w:val="none" w:sz="0" w:space="0" w:color="auto"/>
        <w:left w:val="none" w:sz="0" w:space="0" w:color="auto"/>
        <w:bottom w:val="none" w:sz="0" w:space="0" w:color="auto"/>
        <w:right w:val="none" w:sz="0" w:space="0" w:color="auto"/>
      </w:divBdr>
    </w:div>
    <w:div w:id="1147404740">
      <w:bodyDiv w:val="1"/>
      <w:marLeft w:val="0"/>
      <w:marRight w:val="0"/>
      <w:marTop w:val="0"/>
      <w:marBottom w:val="0"/>
      <w:divBdr>
        <w:top w:val="none" w:sz="0" w:space="0" w:color="auto"/>
        <w:left w:val="none" w:sz="0" w:space="0" w:color="auto"/>
        <w:bottom w:val="none" w:sz="0" w:space="0" w:color="auto"/>
        <w:right w:val="none" w:sz="0" w:space="0" w:color="auto"/>
      </w:divBdr>
    </w:div>
    <w:div w:id="1258320904">
      <w:bodyDiv w:val="1"/>
      <w:marLeft w:val="0"/>
      <w:marRight w:val="0"/>
      <w:marTop w:val="0"/>
      <w:marBottom w:val="0"/>
      <w:divBdr>
        <w:top w:val="none" w:sz="0" w:space="0" w:color="auto"/>
        <w:left w:val="none" w:sz="0" w:space="0" w:color="auto"/>
        <w:bottom w:val="none" w:sz="0" w:space="0" w:color="auto"/>
        <w:right w:val="none" w:sz="0" w:space="0" w:color="auto"/>
      </w:divBdr>
      <w:divsChild>
        <w:div w:id="22639754">
          <w:marLeft w:val="0"/>
          <w:marRight w:val="0"/>
          <w:marTop w:val="0"/>
          <w:marBottom w:val="0"/>
          <w:divBdr>
            <w:top w:val="none" w:sz="0" w:space="0" w:color="auto"/>
            <w:left w:val="none" w:sz="0" w:space="0" w:color="auto"/>
            <w:bottom w:val="none" w:sz="0" w:space="0" w:color="auto"/>
            <w:right w:val="none" w:sz="0" w:space="0" w:color="auto"/>
          </w:divBdr>
        </w:div>
      </w:divsChild>
    </w:div>
    <w:div w:id="1260915257">
      <w:bodyDiv w:val="1"/>
      <w:marLeft w:val="0"/>
      <w:marRight w:val="0"/>
      <w:marTop w:val="0"/>
      <w:marBottom w:val="0"/>
      <w:divBdr>
        <w:top w:val="none" w:sz="0" w:space="0" w:color="auto"/>
        <w:left w:val="none" w:sz="0" w:space="0" w:color="auto"/>
        <w:bottom w:val="none" w:sz="0" w:space="0" w:color="auto"/>
        <w:right w:val="none" w:sz="0" w:space="0" w:color="auto"/>
      </w:divBdr>
    </w:div>
    <w:div w:id="1286279409">
      <w:bodyDiv w:val="1"/>
      <w:marLeft w:val="0"/>
      <w:marRight w:val="0"/>
      <w:marTop w:val="0"/>
      <w:marBottom w:val="0"/>
      <w:divBdr>
        <w:top w:val="none" w:sz="0" w:space="0" w:color="auto"/>
        <w:left w:val="none" w:sz="0" w:space="0" w:color="auto"/>
        <w:bottom w:val="none" w:sz="0" w:space="0" w:color="auto"/>
        <w:right w:val="none" w:sz="0" w:space="0" w:color="auto"/>
      </w:divBdr>
      <w:divsChild>
        <w:div w:id="43333717">
          <w:marLeft w:val="0"/>
          <w:marRight w:val="0"/>
          <w:marTop w:val="0"/>
          <w:marBottom w:val="0"/>
          <w:divBdr>
            <w:top w:val="none" w:sz="0" w:space="0" w:color="auto"/>
            <w:left w:val="none" w:sz="0" w:space="0" w:color="auto"/>
            <w:bottom w:val="none" w:sz="0" w:space="0" w:color="auto"/>
            <w:right w:val="none" w:sz="0" w:space="0" w:color="auto"/>
          </w:divBdr>
        </w:div>
      </w:divsChild>
    </w:div>
    <w:div w:id="1886210110">
      <w:bodyDiv w:val="1"/>
      <w:marLeft w:val="0"/>
      <w:marRight w:val="0"/>
      <w:marTop w:val="0"/>
      <w:marBottom w:val="0"/>
      <w:divBdr>
        <w:top w:val="none" w:sz="0" w:space="0" w:color="auto"/>
        <w:left w:val="none" w:sz="0" w:space="0" w:color="auto"/>
        <w:bottom w:val="none" w:sz="0" w:space="0" w:color="auto"/>
        <w:right w:val="none" w:sz="0" w:space="0" w:color="auto"/>
      </w:divBdr>
    </w:div>
    <w:div w:id="1923250342">
      <w:bodyDiv w:val="1"/>
      <w:marLeft w:val="0"/>
      <w:marRight w:val="0"/>
      <w:marTop w:val="0"/>
      <w:marBottom w:val="0"/>
      <w:divBdr>
        <w:top w:val="none" w:sz="0" w:space="0" w:color="auto"/>
        <w:left w:val="none" w:sz="0" w:space="0" w:color="auto"/>
        <w:bottom w:val="none" w:sz="0" w:space="0" w:color="auto"/>
        <w:right w:val="none" w:sz="0" w:space="0" w:color="auto"/>
      </w:divBdr>
    </w:div>
    <w:div w:id="2057581882">
      <w:bodyDiv w:val="1"/>
      <w:marLeft w:val="0"/>
      <w:marRight w:val="0"/>
      <w:marTop w:val="0"/>
      <w:marBottom w:val="0"/>
      <w:divBdr>
        <w:top w:val="none" w:sz="0" w:space="0" w:color="auto"/>
        <w:left w:val="none" w:sz="0" w:space="0" w:color="auto"/>
        <w:bottom w:val="none" w:sz="0" w:space="0" w:color="auto"/>
        <w:right w:val="none" w:sz="0" w:space="0" w:color="auto"/>
      </w:divBdr>
    </w:div>
    <w:div w:id="2066678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licenses/by-sa/4.0/" TargetMode="External"/><Relationship Id="rId18" Type="http://schemas.openxmlformats.org/officeDocument/2006/relationships/hyperlink" Target="mailto:denysiswanto11@guru.sma.belajar.id"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denysiswanto11@guru.sma.belajar.id"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ifafauziah@mail.ugm.ac.id"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2207050009@webmail.uad.ac.id" TargetMode="External"/><Relationship Id="rId20" Type="http://schemas.openxmlformats.org/officeDocument/2006/relationships/hyperlink" Target="mailto:ifafauziah@mail.ugm.a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ysiswanto11@guru.sma.belajar.i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ifafauziah@mail.ugm.ac.id" TargetMode="External"/><Relationship Id="rId19" Type="http://schemas.openxmlformats.org/officeDocument/2006/relationships/hyperlink" Target="mailto:2207050009@webmail.uad.ac.id" TargetMode="External"/><Relationship Id="rId4" Type="http://schemas.openxmlformats.org/officeDocument/2006/relationships/settings" Target="settings.xml"/><Relationship Id="rId9" Type="http://schemas.openxmlformats.org/officeDocument/2006/relationships/hyperlink" Target="mailto:2207050009@webmail.uad.ac.id" TargetMode="External"/><Relationship Id="rId14" Type="http://schemas.openxmlformats.org/officeDocument/2006/relationships/hyperlink" Target="mailto:2207050009@webmail.uad.ac.id"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D:\bu%20tutik.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669072615923011E-2"/>
          <c:y val="0.16574074074074072"/>
          <c:w val="0.88333092738407704"/>
          <c:h val="0.62119422572178473"/>
        </c:manualLayout>
      </c:layout>
      <c:bar3DChart>
        <c:barDir val="col"/>
        <c:grouping val="clustered"/>
        <c:varyColors val="0"/>
        <c:ser>
          <c:idx val="0"/>
          <c:order val="0"/>
          <c:tx>
            <c:strRef>
              <c:f>'3cm'!$Q$85</c:f>
              <c:strCache>
                <c:ptCount val="1"/>
                <c:pt idx="0">
                  <c:v>Pretest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accent1">
                        <a:lumMod val="50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'3cm'!$P$86:$P$91</c:f>
              <c:strCache>
                <c:ptCount val="6"/>
                <c:pt idx="0">
                  <c:v>Focus</c:v>
                </c:pt>
                <c:pt idx="1">
                  <c:v>Reason</c:v>
                </c:pt>
                <c:pt idx="2">
                  <c:v>Inference</c:v>
                </c:pt>
                <c:pt idx="3">
                  <c:v>Situation</c:v>
                </c:pt>
                <c:pt idx="4">
                  <c:v>Clarity</c:v>
                </c:pt>
                <c:pt idx="5">
                  <c:v>Overview</c:v>
                </c:pt>
              </c:strCache>
            </c:strRef>
          </c:cat>
          <c:val>
            <c:numRef>
              <c:f>'3cm'!$Q$86:$Q$91</c:f>
              <c:numCache>
                <c:formatCode>General</c:formatCode>
                <c:ptCount val="6"/>
                <c:pt idx="0">
                  <c:v>82.22</c:v>
                </c:pt>
                <c:pt idx="1">
                  <c:v>73.33</c:v>
                </c:pt>
                <c:pt idx="2">
                  <c:v>58.89</c:v>
                </c:pt>
                <c:pt idx="3">
                  <c:v>44.44</c:v>
                </c:pt>
                <c:pt idx="4">
                  <c:v>48.89</c:v>
                </c:pt>
                <c:pt idx="5">
                  <c:v>41.11</c:v>
                </c:pt>
              </c:numCache>
            </c:numRef>
          </c:val>
          <c:extLst>
            <c:ext xmlns:c16="http://schemas.microsoft.com/office/drawing/2014/chart" uri="{C3380CC4-5D6E-409C-BE32-E72D297353CC}">
              <c16:uniqueId val="{00000000-BC1B-4BCA-A5A5-1C5E9E31C462}"/>
            </c:ext>
          </c:extLst>
        </c:ser>
        <c:ser>
          <c:idx val="1"/>
          <c:order val="1"/>
          <c:tx>
            <c:strRef>
              <c:f>'3cm'!$R$85</c:f>
              <c:strCache>
                <c:ptCount val="1"/>
                <c:pt idx="0">
                  <c:v>Posttest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accent2">
                        <a:lumMod val="50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'3cm'!$P$86:$P$91</c:f>
              <c:strCache>
                <c:ptCount val="6"/>
                <c:pt idx="0">
                  <c:v>Focus</c:v>
                </c:pt>
                <c:pt idx="1">
                  <c:v>Reason</c:v>
                </c:pt>
                <c:pt idx="2">
                  <c:v>Inference</c:v>
                </c:pt>
                <c:pt idx="3">
                  <c:v>Situation</c:v>
                </c:pt>
                <c:pt idx="4">
                  <c:v>Clarity</c:v>
                </c:pt>
                <c:pt idx="5">
                  <c:v>Overview</c:v>
                </c:pt>
              </c:strCache>
            </c:strRef>
          </c:cat>
          <c:val>
            <c:numRef>
              <c:f>'3cm'!$R$86:$R$91</c:f>
              <c:numCache>
                <c:formatCode>General</c:formatCode>
                <c:ptCount val="6"/>
                <c:pt idx="0">
                  <c:v>93.33</c:v>
                </c:pt>
                <c:pt idx="1">
                  <c:v>97.78</c:v>
                </c:pt>
                <c:pt idx="2">
                  <c:v>94.44</c:v>
                </c:pt>
                <c:pt idx="3">
                  <c:v>82.22</c:v>
                </c:pt>
                <c:pt idx="4">
                  <c:v>81.11</c:v>
                </c:pt>
                <c:pt idx="5">
                  <c:v>61.11</c:v>
                </c:pt>
              </c:numCache>
            </c:numRef>
          </c:val>
          <c:extLst>
            <c:ext xmlns:c16="http://schemas.microsoft.com/office/drawing/2014/chart" uri="{C3380CC4-5D6E-409C-BE32-E72D297353CC}">
              <c16:uniqueId val="{00000001-BC1B-4BCA-A5A5-1C5E9E31C462}"/>
            </c:ext>
          </c:extLst>
        </c:ser>
        <c:dLbls>
          <c:showLegendKey val="0"/>
          <c:showVal val="1"/>
          <c:showCatName val="0"/>
          <c:showSerName val="0"/>
          <c:showPercent val="0"/>
          <c:showBubbleSize val="0"/>
        </c:dLbls>
        <c:gapWidth val="150"/>
        <c:shape val="box"/>
        <c:axId val="746173679"/>
        <c:axId val="1303208591"/>
        <c:axId val="0"/>
      </c:bar3DChart>
      <c:catAx>
        <c:axId val="746173679"/>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a:t>Aspect</a:t>
                </a:r>
              </a:p>
            </c:rich>
          </c:tx>
          <c:layout>
            <c:manualLayout>
              <c:xMode val="edge"/>
              <c:yMode val="edge"/>
              <c:x val="0.46771456692913388"/>
              <c:y val="0.8527343977836103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3208591"/>
        <c:crosses val="autoZero"/>
        <c:auto val="1"/>
        <c:lblAlgn val="ctr"/>
        <c:lblOffset val="100"/>
        <c:noMultiLvlLbl val="0"/>
      </c:catAx>
      <c:valAx>
        <c:axId val="13032085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a:t>Score</a:t>
                </a:r>
              </a:p>
            </c:rich>
          </c:tx>
          <c:layout>
            <c:manualLayout>
              <c:xMode val="edge"/>
              <c:yMode val="edge"/>
              <c:x val="1.8670166229221352E-2"/>
              <c:y val="0.4110035724701078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46173679"/>
        <c:crosses val="autoZero"/>
        <c:crossBetween val="between"/>
      </c:valAx>
      <c:spPr>
        <a:noFill/>
        <a:ln>
          <a:noFill/>
        </a:ln>
        <a:effectLst/>
      </c:spPr>
    </c:plotArea>
    <c:legend>
      <c:legendPos val="b"/>
      <c:layout>
        <c:manualLayout>
          <c:xMode val="edge"/>
          <c:yMode val="edge"/>
          <c:x val="0.37331561679790026"/>
          <c:y val="0.90340113735783023"/>
          <c:w val="0.2422574365704287"/>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yp6aUN9ac7rGHffl4+qLLDoOg==">CgMxLjAyCGguZ2pkZ3hzMgloLjMwajB6bGw4AHIhMThzYXhIVmxLMGpsR3pJbjNTN19tdXZwMXVlWGg0bkNm</go:docsCustomData>
</go:gDocsCustomXmlDataStorage>
</file>

<file path=customXml/itemProps1.xml><?xml version="1.0" encoding="utf-8"?>
<ds:datastoreItem xmlns:ds="http://schemas.openxmlformats.org/officeDocument/2006/customXml" ds:itemID="{0DE6533D-F3BE-4192-AEA9-71043C41A4E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12624</Words>
  <Characters>71962</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YOGA DUET</dc:creator>
  <cp:lastModifiedBy>Reviewer</cp:lastModifiedBy>
  <cp:revision>23</cp:revision>
  <dcterms:created xsi:type="dcterms:W3CDTF">2025-05-12T15:11:00Z</dcterms:created>
  <dcterms:modified xsi:type="dcterms:W3CDTF">2026-05-29T02:06:00Z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a6c5e38f49443fbf41174073b7d02bb3c702f0d86aab9c0542ca916c7c824182</vt:lpwstr>
  </property>
  <property fmtid="{D5CDD505-2E9C-101B-9397-08002B2CF9AE}" pid="3" name="Mendeley Document_1">
    <vt:lpwstr>True</vt:lpwstr>
  </property>
  <property fmtid="{D5CDD505-2E9C-101B-9397-08002B2CF9AE}" pid="4" name="Mendeley Citation Style_1">
    <vt:lpwstr>http://www.zotero.org/styles/ieee</vt:lpwstr>
  </property>
  <property fmtid="{D5CDD505-2E9C-101B-9397-08002B2CF9AE}" pid="5" name="Mendeley Unique User Id_1">
    <vt:lpwstr>88745703-e537-3bd3-b244-65f72065d512</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http://www.zotero.org/styles/apa-old-doi-prefix</vt:lpwstr>
  </property>
  <property fmtid="{D5CDD505-2E9C-101B-9397-08002B2CF9AE}" pid="9" name="Mendeley Recent Style Name 1_1">
    <vt:lpwstr>American Psychological Association 6th edition ("doi:" DOI prefix)</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http://www.zotero.org/styles/chicago-fullnote-bibliography</vt:lpwstr>
  </property>
  <property fmtid="{D5CDD505-2E9C-101B-9397-08002B2CF9AE}" pid="15" name="Mendeley Recent Style Name 4_1">
    <vt:lpwstr>Chicago Manual of Style 17th edition (full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